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2B" w:rsidRDefault="004D692B">
      <w:pPr>
        <w:ind w:right="-170"/>
        <w:jc w:val="center"/>
        <w:rPr>
          <w:rFonts w:ascii="CG Omega" w:hAnsi="CG Omega" w:cs="CG Omega"/>
          <w:sz w:val="24"/>
          <w:szCs w:val="24"/>
          <w:lang w:val="it-IT"/>
        </w:rPr>
      </w:pPr>
      <w:r>
        <w:rPr>
          <w:rFonts w:ascii="CG Omega" w:hAnsi="CG Omega" w:cs="CG Omega"/>
          <w:sz w:val="24"/>
          <w:szCs w:val="24"/>
          <w:lang w:val="it-IT"/>
        </w:rPr>
        <w:t>DATABASE OF EoC  THESIS ABSTRACTS</w:t>
      </w:r>
    </w:p>
    <w:p w:rsidR="004D692B" w:rsidRDefault="004D692B">
      <w:pPr>
        <w:ind w:right="-170"/>
        <w:rPr>
          <w:rFonts w:ascii="CG Omega" w:hAnsi="CG Omega" w:cs="CG Omega"/>
          <w:sz w:val="24"/>
          <w:szCs w:val="24"/>
          <w:lang w:val="it-IT"/>
        </w:rPr>
      </w:pPr>
    </w:p>
    <w:tbl>
      <w:tblPr>
        <w:tblW w:w="0" w:type="auto"/>
        <w:tblInd w:w="-106" w:type="dxa"/>
        <w:tblLayout w:type="fixed"/>
        <w:tblLook w:val="0000"/>
      </w:tblPr>
      <w:tblGrid>
        <w:gridCol w:w="3554"/>
        <w:gridCol w:w="5235"/>
      </w:tblGrid>
      <w:tr w:rsidR="004D692B">
        <w:tblPrEx>
          <w:tblCellMar>
            <w:top w:w="0" w:type="dxa"/>
            <w:bottom w:w="0" w:type="dxa"/>
          </w:tblCellMar>
        </w:tblPrEx>
        <w:tc>
          <w:tcPr>
            <w:tcW w:w="3554" w:type="dxa"/>
            <w:tcBorders>
              <w:top w:val="single" w:sz="12" w:space="0" w:color="000000"/>
              <w:left w:val="nil"/>
              <w:bottom w:val="single" w:sz="12" w:space="0" w:color="000000"/>
              <w:right w:val="nil"/>
            </w:tcBorders>
          </w:tcPr>
          <w:p w:rsidR="004D692B" w:rsidRDefault="004D692B">
            <w:pPr>
              <w:jc w:val="right"/>
              <w:rPr>
                <w:rFonts w:ascii="CG Omega" w:hAnsi="CG Omega" w:cs="CG Omega"/>
                <w:b/>
                <w:bCs/>
                <w:color w:val="808080"/>
                <w:sz w:val="32"/>
                <w:szCs w:val="32"/>
                <w:lang w:val="it-IT"/>
              </w:rPr>
            </w:pPr>
            <w:r>
              <w:rPr>
                <w:rFonts w:ascii="CG Omega" w:hAnsi="CG Omega" w:cs="CG Omega"/>
                <w:b/>
                <w:bCs/>
                <w:i/>
                <w:iCs/>
                <w:color w:val="808080"/>
                <w:sz w:val="32"/>
                <w:szCs w:val="32"/>
                <w:lang w:val="it-IT"/>
              </w:rPr>
              <w:t>GENERAL</w:t>
            </w:r>
          </w:p>
          <w:p w:rsidR="004D692B" w:rsidRDefault="004D692B">
            <w:pPr>
              <w:ind w:right="-170"/>
              <w:jc w:val="center"/>
              <w:rPr>
                <w:rFonts w:ascii="CG Omega" w:hAnsi="CG Omega" w:cs="CG Omega"/>
                <w:b/>
                <w:bCs/>
                <w:color w:val="808080"/>
                <w:sz w:val="32"/>
                <w:szCs w:val="32"/>
                <w:lang w:val="it-IT"/>
              </w:rPr>
            </w:pPr>
          </w:p>
        </w:tc>
        <w:tc>
          <w:tcPr>
            <w:tcW w:w="5235" w:type="dxa"/>
            <w:tcBorders>
              <w:top w:val="single" w:sz="12" w:space="0" w:color="000000"/>
              <w:left w:val="nil"/>
              <w:bottom w:val="single" w:sz="12" w:space="0" w:color="000000"/>
              <w:right w:val="nil"/>
            </w:tcBorders>
          </w:tcPr>
          <w:p w:rsidR="004D692B" w:rsidRDefault="004D692B">
            <w:pPr>
              <w:ind w:right="-170"/>
              <w:rPr>
                <w:rFonts w:ascii="CG Omega" w:hAnsi="CG Omega" w:cs="CG Omega"/>
                <w:b/>
                <w:bCs/>
                <w:color w:val="808080"/>
                <w:sz w:val="32"/>
                <w:szCs w:val="32"/>
                <w:lang w:val="it-IT"/>
              </w:rPr>
            </w:pPr>
            <w:r>
              <w:rPr>
                <w:rFonts w:ascii="CG Omega" w:hAnsi="CG Omega" w:cs="CG Omega"/>
                <w:b/>
                <w:bCs/>
                <w:i/>
                <w:iCs/>
                <w:color w:val="808080"/>
                <w:sz w:val="32"/>
                <w:szCs w:val="32"/>
                <w:lang w:val="it-IT"/>
              </w:rPr>
              <w:t>INFORMATION</w:t>
            </w:r>
          </w:p>
        </w:tc>
      </w:tr>
      <w:tr w:rsidR="004D692B">
        <w:tblPrEx>
          <w:tblCellMar>
            <w:top w:w="0" w:type="dxa"/>
            <w:bottom w:w="0" w:type="dxa"/>
          </w:tblCellMar>
        </w:tblPrEx>
        <w:tc>
          <w:tcPr>
            <w:tcW w:w="3554" w:type="dxa"/>
            <w:tcBorders>
              <w:top w:val="nil"/>
              <w:left w:val="nil"/>
              <w:bottom w:val="single" w:sz="6" w:space="0" w:color="000000"/>
              <w:right w:val="nil"/>
            </w:tcBorders>
          </w:tcPr>
          <w:p w:rsidR="004D692B" w:rsidRDefault="004D692B">
            <w:pPr>
              <w:spacing w:line="480" w:lineRule="auto"/>
              <w:ind w:right="-170"/>
              <w:rPr>
                <w:rFonts w:ascii="CG Omega" w:hAnsi="CG Omega" w:cs="CG Omega"/>
                <w:lang w:val="it-IT"/>
              </w:rPr>
            </w:pPr>
            <w:r>
              <w:rPr>
                <w:rFonts w:ascii="CG Omega" w:hAnsi="CG Omega" w:cs="CG Omega"/>
                <w:lang w:val="it-IT"/>
              </w:rPr>
              <w:t>NAME nome:</w:t>
            </w:r>
          </w:p>
        </w:tc>
        <w:tc>
          <w:tcPr>
            <w:tcW w:w="5235" w:type="dxa"/>
            <w:tcBorders>
              <w:top w:val="nil"/>
              <w:left w:val="nil"/>
              <w:bottom w:val="single" w:sz="6" w:space="0" w:color="000000"/>
              <w:right w:val="nil"/>
            </w:tcBorders>
          </w:tcPr>
          <w:p w:rsidR="004D692B" w:rsidRDefault="004D692B">
            <w:pPr>
              <w:ind w:right="-170"/>
              <w:rPr>
                <w:rFonts w:ascii="CG Omega" w:hAnsi="CG Omega" w:cs="CG Omega"/>
                <w:sz w:val="24"/>
                <w:szCs w:val="24"/>
                <w:lang w:val="it-IT"/>
              </w:rPr>
            </w:pPr>
            <w:r>
              <w:rPr>
                <w:rFonts w:ascii="CG Omega" w:hAnsi="CG Omega" w:cs="CG Omega"/>
                <w:sz w:val="24"/>
                <w:szCs w:val="24"/>
                <w:lang w:val="it-IT"/>
              </w:rPr>
              <w:t>Giuliana Ferretti</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ADDRESS indirizzo completo:</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Corridonia, MC, Italy</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lang w:val="it-IT"/>
              </w:rPr>
            </w:pPr>
            <w:r>
              <w:rPr>
                <w:rFonts w:ascii="CG Omega" w:hAnsi="CG Omega" w:cs="CG Omega"/>
                <w:lang w:val="it-IT"/>
              </w:rPr>
              <w:t xml:space="preserve">TELEPHONE telefono: </w:t>
            </w:r>
          </w:p>
          <w:p w:rsidR="004D692B" w:rsidRDefault="004D692B">
            <w:pPr>
              <w:spacing w:before="120"/>
              <w:ind w:right="-170"/>
              <w:rPr>
                <w:rFonts w:ascii="CG Omega" w:hAnsi="CG Omega" w:cs="CG Omega"/>
                <w:lang w:val="it-IT"/>
              </w:rPr>
            </w:pPr>
            <w:r>
              <w:rPr>
                <w:rFonts w:ascii="CG Omega" w:hAnsi="CG Omega" w:cs="CG Omega"/>
                <w:lang w:val="it-IT"/>
              </w:rPr>
              <w:t>FAX fax:</w:t>
            </w:r>
          </w:p>
          <w:p w:rsidR="004D692B" w:rsidRDefault="004D692B">
            <w:pPr>
              <w:spacing w:before="120"/>
              <w:ind w:right="-170"/>
              <w:rPr>
                <w:rFonts w:ascii="CG Omega" w:hAnsi="CG Omega" w:cs="CG Omega"/>
                <w:lang w:val="it-IT"/>
              </w:rPr>
            </w:pPr>
            <w:r>
              <w:rPr>
                <w:rFonts w:ascii="CG Omega" w:hAnsi="CG Omega" w:cs="CG Omega"/>
                <w:lang w:val="it-IT"/>
              </w:rPr>
              <w:t xml:space="preserve">E-MAIL e-mail: </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p>
          <w:p w:rsidR="004D692B" w:rsidRDefault="004D692B">
            <w:pPr>
              <w:rPr>
                <w:rFonts w:ascii="CG Omega" w:hAnsi="CG Omega" w:cs="CG Omega"/>
                <w:sz w:val="24"/>
                <w:szCs w:val="24"/>
                <w:lang w:val="it-IT"/>
              </w:rPr>
            </w:pPr>
          </w:p>
          <w:p w:rsidR="004D692B" w:rsidRDefault="004D692B">
            <w:pPr>
              <w:rPr>
                <w:rFonts w:ascii="CG Omega" w:hAnsi="CG Omega" w:cs="CG Omega"/>
                <w:sz w:val="24"/>
                <w:szCs w:val="24"/>
                <w:lang w:val="it-IT"/>
              </w:rPr>
            </w:pPr>
            <w:hyperlink r:id="rId5" w:history="1">
              <w:r>
                <w:rPr>
                  <w:rStyle w:val="Hyperlink"/>
                  <w:rFonts w:ascii="CG Omega" w:hAnsi="CG Omega" w:cs="CG Omega"/>
                  <w:lang w:val="it-IT"/>
                </w:rPr>
                <w:t>giuliana.ferretti93@gmail.com</w:t>
              </w:r>
            </w:hyperlink>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UNIVERSITY università:</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Università degli Studi di Macerata</w:t>
            </w:r>
          </w:p>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Dipartimento di Economia e Diritto</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 xml:space="preserve">GRADE OF STUDY livello di studio: </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L-18: Economia: banche, aziende e mercati</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FIELD OF STUDY campo di studio:</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Organizzazione aziendale</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TITLE OF THESIS titolo della tesi:</w:t>
            </w:r>
          </w:p>
          <w:p w:rsidR="004D692B" w:rsidRDefault="004D692B">
            <w:pPr>
              <w:spacing w:before="120" w:line="480" w:lineRule="auto"/>
              <w:ind w:right="-170"/>
              <w:rPr>
                <w:rFonts w:ascii="CG Omega" w:hAnsi="CG Omega" w:cs="CG Omega"/>
                <w:lang w:val="it-IT"/>
              </w:rPr>
            </w:pP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Organizzazioni, CSR e sviluppo sociale. L’esperienza delle aziende dell’Economia di Comunione</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YEAR COMMENCED anno inizio:</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2014/2015</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YEAR COMPLETED data discussione:</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20/10/2015</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SUPERVISOR relatore:</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Federico Niccolini</w:t>
            </w:r>
          </w:p>
        </w:tc>
      </w:tr>
      <w:tr w:rsidR="004D692B">
        <w:tblPrEx>
          <w:tblCellMar>
            <w:top w:w="0" w:type="dxa"/>
            <w:bottom w:w="0" w:type="dxa"/>
          </w:tblCellMar>
        </w:tblPrEx>
        <w:tc>
          <w:tcPr>
            <w:tcW w:w="3554" w:type="dxa"/>
            <w:tcBorders>
              <w:top w:val="single" w:sz="6" w:space="0" w:color="000000"/>
              <w:left w:val="nil"/>
              <w:bottom w:val="single" w:sz="6"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PAGES n. pagine:</w:t>
            </w:r>
          </w:p>
        </w:tc>
        <w:tc>
          <w:tcPr>
            <w:tcW w:w="5235" w:type="dxa"/>
            <w:tcBorders>
              <w:top w:val="single" w:sz="6" w:space="0" w:color="000000"/>
              <w:left w:val="nil"/>
              <w:bottom w:val="single" w:sz="6"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40</w:t>
            </w:r>
          </w:p>
        </w:tc>
      </w:tr>
      <w:tr w:rsidR="004D692B">
        <w:tblPrEx>
          <w:tblCellMar>
            <w:top w:w="0" w:type="dxa"/>
            <w:bottom w:w="0" w:type="dxa"/>
          </w:tblCellMar>
        </w:tblPrEx>
        <w:tc>
          <w:tcPr>
            <w:tcW w:w="3554" w:type="dxa"/>
            <w:tcBorders>
              <w:top w:val="single" w:sz="6" w:space="0" w:color="000000"/>
              <w:left w:val="nil"/>
              <w:bottom w:val="single" w:sz="12" w:space="0" w:color="000000"/>
              <w:right w:val="nil"/>
            </w:tcBorders>
          </w:tcPr>
          <w:p w:rsidR="004D692B" w:rsidRDefault="004D692B">
            <w:pPr>
              <w:spacing w:before="120" w:line="480" w:lineRule="auto"/>
              <w:ind w:right="-170"/>
              <w:rPr>
                <w:rFonts w:ascii="CG Omega" w:hAnsi="CG Omega" w:cs="CG Omega"/>
                <w:lang w:val="it-IT"/>
              </w:rPr>
            </w:pPr>
            <w:r>
              <w:rPr>
                <w:rFonts w:ascii="CG Omega" w:hAnsi="CG Omega" w:cs="CG Omega"/>
                <w:lang w:val="it-IT"/>
              </w:rPr>
              <w:t>LANGUAGE lingua:</w:t>
            </w:r>
          </w:p>
        </w:tc>
        <w:tc>
          <w:tcPr>
            <w:tcW w:w="5235" w:type="dxa"/>
            <w:tcBorders>
              <w:top w:val="single" w:sz="6" w:space="0" w:color="000000"/>
              <w:left w:val="nil"/>
              <w:bottom w:val="single" w:sz="12" w:space="0" w:color="000000"/>
              <w:right w:val="nil"/>
            </w:tcBorders>
          </w:tcPr>
          <w:p w:rsidR="004D692B" w:rsidRDefault="004D692B">
            <w:pPr>
              <w:spacing w:before="120"/>
              <w:ind w:right="-170"/>
              <w:rPr>
                <w:rFonts w:ascii="CG Omega" w:hAnsi="CG Omega" w:cs="CG Omega"/>
                <w:sz w:val="24"/>
                <w:szCs w:val="24"/>
                <w:lang w:val="it-IT"/>
              </w:rPr>
            </w:pPr>
            <w:r>
              <w:rPr>
                <w:rFonts w:ascii="CG Omega" w:hAnsi="CG Omega" w:cs="CG Omega"/>
                <w:sz w:val="24"/>
                <w:szCs w:val="24"/>
                <w:lang w:val="it-IT"/>
              </w:rPr>
              <w:t>Italiano</w:t>
            </w:r>
          </w:p>
        </w:tc>
      </w:tr>
    </w:tbl>
    <w:p w:rsidR="004D692B" w:rsidRDefault="004D692B">
      <w:pPr>
        <w:rPr>
          <w:rFonts w:ascii="CG Omega" w:hAnsi="CG Omega" w:cs="CG Omega"/>
          <w:sz w:val="24"/>
          <w:szCs w:val="24"/>
          <w:lang w:val="it-IT"/>
        </w:rPr>
      </w:pPr>
    </w:p>
    <w:p w:rsidR="004D692B" w:rsidRDefault="004D692B">
      <w:pPr>
        <w:jc w:val="center"/>
        <w:rPr>
          <w:rFonts w:ascii="CG Omega" w:hAnsi="CG Omega" w:cs="CG Omega"/>
          <w:sz w:val="24"/>
          <w:szCs w:val="24"/>
          <w:lang w:val="it-IT"/>
        </w:rPr>
      </w:pPr>
      <w:r>
        <w:rPr>
          <w:rFonts w:ascii="CG Omega" w:hAnsi="CG Omega" w:cs="CG Omega"/>
          <w:b/>
          <w:bCs/>
          <w:color w:val="808080"/>
          <w:sz w:val="28"/>
          <w:szCs w:val="28"/>
          <w:lang w:val="it-IT"/>
        </w:rPr>
        <w:t>ABSTRACT</w:t>
      </w:r>
    </w:p>
    <w:p w:rsidR="004D692B" w:rsidRDefault="004D692B">
      <w:pPr>
        <w:jc w:val="center"/>
        <w:rPr>
          <w:rFonts w:ascii="CG Omega" w:hAnsi="CG Omega" w:cs="CG Omega"/>
          <w:lang w:val="it-IT"/>
        </w:rPr>
      </w:pPr>
    </w:p>
    <w:tbl>
      <w:tblPr>
        <w:tblW w:w="0" w:type="auto"/>
        <w:tblInd w:w="-106" w:type="dxa"/>
        <w:tblLayout w:type="fixed"/>
        <w:tblLook w:val="0000"/>
      </w:tblPr>
      <w:tblGrid>
        <w:gridCol w:w="2676"/>
        <w:gridCol w:w="6159"/>
      </w:tblGrid>
      <w:tr w:rsidR="004D692B">
        <w:tblPrEx>
          <w:tblCellMar>
            <w:top w:w="0" w:type="dxa"/>
            <w:bottom w:w="0" w:type="dxa"/>
          </w:tblCellMar>
        </w:tblPrEx>
        <w:tc>
          <w:tcPr>
            <w:tcW w:w="2676" w:type="dxa"/>
            <w:tcBorders>
              <w:top w:val="single" w:sz="12" w:space="0" w:color="000000"/>
              <w:left w:val="nil"/>
              <w:bottom w:val="single" w:sz="12" w:space="0" w:color="000000"/>
              <w:right w:val="nil"/>
            </w:tcBorders>
          </w:tcPr>
          <w:p w:rsidR="004D692B" w:rsidRDefault="004D692B">
            <w:pPr>
              <w:spacing w:before="120"/>
              <w:rPr>
                <w:rFonts w:ascii="CG Omega" w:hAnsi="CG Omega" w:cs="CG Omega"/>
                <w:b/>
                <w:bCs/>
                <w:color w:val="808080"/>
                <w:sz w:val="24"/>
                <w:szCs w:val="24"/>
                <w:lang w:val="it-IT"/>
              </w:rPr>
            </w:pPr>
            <w:r>
              <w:rPr>
                <w:rFonts w:ascii="CG Omega" w:hAnsi="CG Omega" w:cs="CG Omega"/>
                <w:b/>
                <w:bCs/>
                <w:color w:val="808080"/>
                <w:sz w:val="24"/>
                <w:szCs w:val="24"/>
                <w:lang w:val="it-IT"/>
              </w:rPr>
              <w:t xml:space="preserve">AIM </w:t>
            </w:r>
            <w:r>
              <w:rPr>
                <w:rFonts w:ascii="CG Omega" w:hAnsi="CG Omega" w:cs="CG Omega"/>
                <w:b/>
                <w:bCs/>
                <w:i/>
                <w:iCs/>
                <w:color w:val="808080"/>
                <w:sz w:val="24"/>
                <w:szCs w:val="24"/>
                <w:lang w:val="it-IT"/>
              </w:rPr>
              <w:t>obbiettivo</w:t>
            </w:r>
          </w:p>
        </w:tc>
        <w:tc>
          <w:tcPr>
            <w:tcW w:w="6159" w:type="dxa"/>
            <w:tcBorders>
              <w:top w:val="single" w:sz="12" w:space="0" w:color="000000"/>
              <w:left w:val="nil"/>
              <w:bottom w:val="single" w:sz="12" w:space="0" w:color="000000"/>
              <w:right w:val="nil"/>
            </w:tcBorders>
          </w:tcPr>
          <w:p w:rsidR="004D692B" w:rsidRDefault="004D692B">
            <w:pPr>
              <w:spacing w:line="360" w:lineRule="auto"/>
              <w:ind w:firstLine="708"/>
              <w:jc w:val="both"/>
              <w:rPr>
                <w:sz w:val="24"/>
                <w:szCs w:val="24"/>
              </w:rPr>
            </w:pPr>
          </w:p>
          <w:p w:rsidR="004D692B" w:rsidRDefault="004D692B">
            <w:pPr>
              <w:spacing w:line="360" w:lineRule="auto"/>
              <w:ind w:firstLine="708"/>
              <w:jc w:val="both"/>
              <w:rPr>
                <w:sz w:val="24"/>
                <w:szCs w:val="24"/>
                <w:lang w:val="it-IT"/>
              </w:rPr>
            </w:pPr>
            <w:r>
              <w:rPr>
                <w:sz w:val="24"/>
                <w:szCs w:val="24"/>
              </w:rPr>
              <w:t xml:space="preserve">L’obiettivo di questa tesi è quello di analizzare il ruolo che possono e devono rivestire le organizzazioni all’interno della nostra società per contribuire al miglioramento del benessere sociale. </w:t>
            </w:r>
          </w:p>
          <w:p w:rsidR="004D692B" w:rsidRDefault="004D692B">
            <w:pPr>
              <w:spacing w:line="360" w:lineRule="auto"/>
              <w:ind w:firstLine="708"/>
              <w:jc w:val="both"/>
              <w:rPr>
                <w:sz w:val="24"/>
                <w:szCs w:val="24"/>
              </w:rPr>
            </w:pPr>
            <w:r>
              <w:rPr>
                <w:sz w:val="24"/>
                <w:szCs w:val="24"/>
              </w:rPr>
              <w:t>Nel primo capitolo si forniscono gli elementi teorici per comprendere il tema della responsabilità sociale (CSR), soffermandosi soprattutto sulla natura delle organizzazioni e sul loro ruolo nella società. Il secondo capitolo si sofferma ad analizzare l’importanza fondamentale che rivestono l’etica e la cultura organizzativa all’interno delle aziende che scelgono di adottare orientamenti sociali e responsabili, evidenziando in particolare il ruolo del manager come sorgente da cui si sviluppa la CSR. Nell’ultimo capitolo si presenta il caso delle aziende dell’Economia di Comunione come risposta autentica alle sfide della responsabilità sociale e dell’etica manageriale.</w:t>
            </w:r>
          </w:p>
          <w:p w:rsidR="004D692B" w:rsidRDefault="004D692B">
            <w:pPr>
              <w:spacing w:line="360" w:lineRule="auto"/>
              <w:ind w:firstLine="708"/>
              <w:jc w:val="both"/>
              <w:rPr>
                <w:sz w:val="24"/>
                <w:szCs w:val="24"/>
              </w:rPr>
            </w:pPr>
          </w:p>
          <w:p w:rsidR="004D692B" w:rsidRDefault="004D692B">
            <w:pPr>
              <w:spacing w:before="120"/>
              <w:jc w:val="both"/>
              <w:rPr>
                <w:rFonts w:ascii="CG Omega" w:hAnsi="CG Omega" w:cs="CG Omega"/>
                <w:b/>
                <w:bCs/>
                <w:color w:val="808080"/>
                <w:lang w:val="it-IT"/>
              </w:rPr>
            </w:pPr>
          </w:p>
        </w:tc>
      </w:tr>
      <w:tr w:rsidR="004D692B">
        <w:tblPrEx>
          <w:tblCellMar>
            <w:top w:w="0" w:type="dxa"/>
            <w:bottom w:w="0" w:type="dxa"/>
          </w:tblCellMar>
        </w:tblPrEx>
        <w:tc>
          <w:tcPr>
            <w:tcW w:w="2676" w:type="dxa"/>
            <w:tcBorders>
              <w:top w:val="nil"/>
              <w:left w:val="nil"/>
              <w:bottom w:val="single" w:sz="6" w:space="0" w:color="000000"/>
              <w:right w:val="nil"/>
            </w:tcBorders>
          </w:tcPr>
          <w:p w:rsidR="004D692B" w:rsidRDefault="004D692B">
            <w:pPr>
              <w:spacing w:before="120"/>
              <w:rPr>
                <w:rFonts w:ascii="CG Omega" w:hAnsi="CG Omega" w:cs="CG Omega"/>
                <w:sz w:val="24"/>
                <w:szCs w:val="24"/>
                <w:lang w:val="it-IT"/>
              </w:rPr>
            </w:pPr>
            <w:r>
              <w:rPr>
                <w:rFonts w:ascii="CG Omega" w:hAnsi="CG Omega" w:cs="CG Omega"/>
                <w:sz w:val="24"/>
                <w:szCs w:val="24"/>
                <w:lang w:val="it-IT"/>
              </w:rPr>
              <w:t xml:space="preserve">METHOD </w:t>
            </w:r>
            <w:r>
              <w:rPr>
                <w:rFonts w:ascii="CG Omega" w:hAnsi="CG Omega" w:cs="CG Omega"/>
                <w:i/>
                <w:iCs/>
                <w:sz w:val="24"/>
                <w:szCs w:val="24"/>
                <w:lang w:val="it-IT"/>
              </w:rPr>
              <w:t>metodo</w:t>
            </w:r>
          </w:p>
        </w:tc>
        <w:tc>
          <w:tcPr>
            <w:tcW w:w="6159" w:type="dxa"/>
            <w:tcBorders>
              <w:top w:val="nil"/>
              <w:left w:val="nil"/>
              <w:bottom w:val="single" w:sz="6" w:space="0" w:color="000000"/>
              <w:right w:val="nil"/>
            </w:tcBorders>
          </w:tcPr>
          <w:p w:rsidR="004D692B" w:rsidRDefault="004D692B">
            <w:pPr>
              <w:spacing w:line="360" w:lineRule="auto"/>
              <w:jc w:val="both"/>
              <w:rPr>
                <w:rFonts w:ascii="CG Omega" w:hAnsi="CG Omega" w:cs="CG Omega"/>
                <w:lang w:val="it-IT"/>
              </w:rPr>
            </w:pPr>
          </w:p>
          <w:p w:rsidR="004D692B" w:rsidRDefault="004D692B">
            <w:pPr>
              <w:spacing w:line="360" w:lineRule="auto"/>
              <w:jc w:val="both"/>
              <w:rPr>
                <w:sz w:val="24"/>
                <w:szCs w:val="24"/>
              </w:rPr>
            </w:pPr>
            <w:r>
              <w:rPr>
                <w:sz w:val="24"/>
                <w:szCs w:val="24"/>
              </w:rPr>
              <w:t xml:space="preserve">L’analisi del progetto verrà presentata secondo due prospettive. In una prima prospettiva, si vuole sottolineare come il modello dell’EdC possa rappresentare una realtà concreta che propende per un’adesione genuina e matura a comportamenti socialmente responsabili.  In una seconda prospettiva, si vuole evidenziare e ribadire come non possa esserci uno sviluppo pienamente sociale se non ripartendo dai valori etici che plasmano un individuo. Pertanto, dopo aver analizzato le ragioni che spingono taluni autori a considerare le aziende EdC come modelli evoluti di CSR, si passa ad analizzare la cultura organizzativa, partendo dalla considerazione che una società nuova non può che formarsi da “uomini nuovi”. </w:t>
            </w:r>
          </w:p>
          <w:p w:rsidR="004D692B" w:rsidRDefault="004D692B">
            <w:pPr>
              <w:spacing w:before="120"/>
              <w:rPr>
                <w:rFonts w:ascii="CG Omega" w:hAnsi="CG Omega" w:cs="CG Omega"/>
                <w:lang w:val="it-IT"/>
              </w:rPr>
            </w:pPr>
          </w:p>
        </w:tc>
      </w:tr>
      <w:tr w:rsidR="004D692B">
        <w:tblPrEx>
          <w:tblCellMar>
            <w:top w:w="0" w:type="dxa"/>
            <w:bottom w:w="0" w:type="dxa"/>
          </w:tblCellMar>
        </w:tblPrEx>
        <w:tc>
          <w:tcPr>
            <w:tcW w:w="2676" w:type="dxa"/>
            <w:tcBorders>
              <w:top w:val="single" w:sz="6" w:space="0" w:color="000000"/>
              <w:left w:val="nil"/>
              <w:bottom w:val="single" w:sz="6" w:space="0" w:color="000000"/>
              <w:right w:val="nil"/>
            </w:tcBorders>
          </w:tcPr>
          <w:p w:rsidR="004D692B" w:rsidRDefault="004D692B">
            <w:pPr>
              <w:spacing w:before="120"/>
              <w:rPr>
                <w:rFonts w:ascii="CG Omega" w:hAnsi="CG Omega" w:cs="CG Omega"/>
                <w:sz w:val="24"/>
                <w:szCs w:val="24"/>
                <w:lang w:val="it-IT"/>
              </w:rPr>
            </w:pPr>
            <w:r>
              <w:rPr>
                <w:rFonts w:ascii="CG Omega" w:hAnsi="CG Omega" w:cs="CG Omega"/>
                <w:sz w:val="24"/>
                <w:szCs w:val="24"/>
                <w:lang w:val="it-IT"/>
              </w:rPr>
              <w:t xml:space="preserve">CONCLUSIONS </w:t>
            </w:r>
          </w:p>
          <w:p w:rsidR="004D692B" w:rsidRDefault="004D692B">
            <w:pPr>
              <w:spacing w:before="120"/>
              <w:rPr>
                <w:rFonts w:ascii="CG Omega" w:hAnsi="CG Omega" w:cs="CG Omega"/>
                <w:sz w:val="24"/>
                <w:szCs w:val="24"/>
                <w:lang w:val="it-IT"/>
              </w:rPr>
            </w:pPr>
            <w:r>
              <w:rPr>
                <w:rFonts w:ascii="CG Omega" w:hAnsi="CG Omega" w:cs="CG Omega"/>
                <w:i/>
                <w:iCs/>
                <w:sz w:val="24"/>
                <w:szCs w:val="24"/>
                <w:lang w:val="it-IT"/>
              </w:rPr>
              <w:t>conclusioni</w:t>
            </w:r>
          </w:p>
        </w:tc>
        <w:tc>
          <w:tcPr>
            <w:tcW w:w="6159" w:type="dxa"/>
            <w:tcBorders>
              <w:top w:val="single" w:sz="6" w:space="0" w:color="000000"/>
              <w:left w:val="nil"/>
              <w:bottom w:val="single" w:sz="6" w:space="0" w:color="000000"/>
              <w:right w:val="nil"/>
            </w:tcBorders>
          </w:tcPr>
          <w:p w:rsidR="004D692B" w:rsidRDefault="004D692B">
            <w:pPr>
              <w:spacing w:before="120"/>
              <w:rPr>
                <w:rFonts w:ascii="CG Omega" w:hAnsi="CG Omega" w:cs="CG Omega"/>
                <w:lang w:val="it-IT"/>
              </w:rPr>
            </w:pPr>
          </w:p>
          <w:p w:rsidR="004D692B" w:rsidRDefault="004D692B">
            <w:pPr>
              <w:spacing w:line="360" w:lineRule="auto"/>
              <w:ind w:firstLine="708"/>
              <w:jc w:val="both"/>
              <w:rPr>
                <w:sz w:val="24"/>
                <w:szCs w:val="24"/>
              </w:rPr>
            </w:pPr>
            <w:r>
              <w:rPr>
                <w:sz w:val="24"/>
                <w:szCs w:val="24"/>
              </w:rPr>
              <w:t>Il caso delle aziende dell’EDC mette in evidenza come l’importante finalità del profitto può essere coniugata in modo efficace anche con la risoluzione delle problematiche sociali. Il modello di CSR proposto dalle aziende aderenti al progetto dell’Economia di Comunione fornisce, infatti, un esempio di come le organizzazioni possono creare ricchezza non solo per sé ma condividendola anch</w:t>
            </w:r>
            <w:bookmarkStart w:id="0" w:name="_GoBack"/>
            <w:bookmarkEnd w:id="0"/>
            <w:r>
              <w:rPr>
                <w:sz w:val="24"/>
                <w:szCs w:val="24"/>
              </w:rPr>
              <w:t>e con la società. Inoltre, si è visto come questo sia possibile solo se si realizza un cambiamento culturale, non solo della concezione del ruolo dell’impresa ma, in modo più profondo, della sua stessa identità. Le aziende EDC, pertanto, dimostrano che la via per contribuire al benessere sociale, economico e ambientale è concretamente percorribile.</w:t>
            </w:r>
            <w:r>
              <w:rPr>
                <w:sz w:val="24"/>
                <w:szCs w:val="24"/>
              </w:rPr>
              <w:tab/>
            </w:r>
          </w:p>
          <w:p w:rsidR="004D692B" w:rsidRDefault="004D692B">
            <w:pPr>
              <w:spacing w:before="120"/>
              <w:rPr>
                <w:rFonts w:ascii="CG Omega" w:hAnsi="CG Omega" w:cs="CG Omega"/>
                <w:lang w:val="it-IT"/>
              </w:rPr>
            </w:pPr>
          </w:p>
        </w:tc>
      </w:tr>
      <w:tr w:rsidR="004D692B">
        <w:tblPrEx>
          <w:tblCellMar>
            <w:top w:w="0" w:type="dxa"/>
            <w:bottom w:w="0" w:type="dxa"/>
          </w:tblCellMar>
        </w:tblPrEx>
        <w:tc>
          <w:tcPr>
            <w:tcW w:w="2676" w:type="dxa"/>
            <w:tcBorders>
              <w:top w:val="single" w:sz="6" w:space="0" w:color="000000"/>
              <w:left w:val="nil"/>
              <w:bottom w:val="single" w:sz="6" w:space="0" w:color="000000"/>
              <w:right w:val="nil"/>
            </w:tcBorders>
          </w:tcPr>
          <w:p w:rsidR="004D692B" w:rsidRDefault="004D692B">
            <w:pPr>
              <w:spacing w:before="120"/>
              <w:rPr>
                <w:rFonts w:ascii="CG Omega" w:hAnsi="CG Omega" w:cs="CG Omega"/>
                <w:sz w:val="24"/>
                <w:szCs w:val="24"/>
                <w:lang w:val="it-IT"/>
              </w:rPr>
            </w:pPr>
            <w:r>
              <w:rPr>
                <w:rFonts w:ascii="CG Omega" w:hAnsi="CG Omega" w:cs="CG Omega"/>
                <w:sz w:val="24"/>
                <w:szCs w:val="24"/>
                <w:lang w:val="it-IT"/>
              </w:rPr>
              <w:t xml:space="preserve">KEYWORDS </w:t>
            </w:r>
          </w:p>
          <w:p w:rsidR="004D692B" w:rsidRDefault="004D692B">
            <w:pPr>
              <w:spacing w:before="120"/>
              <w:rPr>
                <w:rFonts w:ascii="CG Omega" w:hAnsi="CG Omega" w:cs="CG Omega"/>
                <w:sz w:val="24"/>
                <w:szCs w:val="24"/>
                <w:lang w:val="it-IT"/>
              </w:rPr>
            </w:pPr>
            <w:r>
              <w:rPr>
                <w:rFonts w:ascii="CG Omega" w:hAnsi="CG Omega" w:cs="CG Omega"/>
                <w:i/>
                <w:iCs/>
                <w:sz w:val="24"/>
                <w:szCs w:val="24"/>
                <w:lang w:val="it-IT"/>
              </w:rPr>
              <w:t>parole chiave</w:t>
            </w:r>
          </w:p>
        </w:tc>
        <w:tc>
          <w:tcPr>
            <w:tcW w:w="6159" w:type="dxa"/>
            <w:tcBorders>
              <w:top w:val="single" w:sz="6" w:space="0" w:color="000000"/>
              <w:left w:val="nil"/>
              <w:bottom w:val="single" w:sz="6" w:space="0" w:color="000000"/>
              <w:right w:val="nil"/>
            </w:tcBorders>
          </w:tcPr>
          <w:p w:rsidR="004D692B" w:rsidRDefault="004D692B">
            <w:pPr>
              <w:spacing w:before="120"/>
              <w:rPr>
                <w:rFonts w:ascii="CG Omega" w:hAnsi="CG Omega" w:cs="CG Omega"/>
                <w:lang w:val="it-IT"/>
              </w:rPr>
            </w:pPr>
          </w:p>
          <w:p w:rsidR="004D692B" w:rsidRDefault="004D692B">
            <w:pPr>
              <w:spacing w:before="120"/>
              <w:rPr>
                <w:rFonts w:ascii="CG Omega" w:hAnsi="CG Omega" w:cs="CG Omega"/>
                <w:lang w:val="it-IT"/>
              </w:rPr>
            </w:pPr>
            <w:r>
              <w:rPr>
                <w:rFonts w:ascii="CG Omega" w:hAnsi="CG Omega" w:cs="CG Omega"/>
                <w:lang w:val="it-IT"/>
              </w:rPr>
              <w:t>RESPONSABILITA’ SOCIALE (CSR), VALORE CONDIVISO (CSV), SVILUPPO SOSTENIBILE, ETICA E CULTURA ORGANIZZATIVA, EDC</w:t>
            </w:r>
          </w:p>
          <w:p w:rsidR="004D692B" w:rsidRDefault="004D692B">
            <w:pPr>
              <w:spacing w:before="120"/>
              <w:rPr>
                <w:rFonts w:ascii="CG Omega" w:hAnsi="CG Omega" w:cs="CG Omega"/>
                <w:lang w:val="it-IT"/>
              </w:rPr>
            </w:pPr>
          </w:p>
        </w:tc>
      </w:tr>
      <w:tr w:rsidR="004D692B">
        <w:tblPrEx>
          <w:tblCellMar>
            <w:top w:w="0" w:type="dxa"/>
            <w:bottom w:w="0" w:type="dxa"/>
          </w:tblCellMar>
        </w:tblPrEx>
        <w:tc>
          <w:tcPr>
            <w:tcW w:w="2676" w:type="dxa"/>
            <w:tcBorders>
              <w:top w:val="single" w:sz="6" w:space="0" w:color="000000"/>
              <w:left w:val="nil"/>
              <w:bottom w:val="single" w:sz="12" w:space="0" w:color="000000"/>
              <w:right w:val="nil"/>
            </w:tcBorders>
          </w:tcPr>
          <w:p w:rsidR="004D692B" w:rsidRDefault="004D692B">
            <w:pPr>
              <w:spacing w:before="120"/>
              <w:rPr>
                <w:rFonts w:ascii="CG Omega" w:hAnsi="CG Omega" w:cs="CG Omega"/>
                <w:sz w:val="24"/>
                <w:szCs w:val="24"/>
                <w:lang w:val="it-IT"/>
              </w:rPr>
            </w:pPr>
            <w:r>
              <w:rPr>
                <w:rFonts w:ascii="CG Omega" w:hAnsi="CG Omega" w:cs="CG Omega"/>
                <w:sz w:val="24"/>
                <w:szCs w:val="24"/>
                <w:lang w:val="it-IT"/>
              </w:rPr>
              <w:t>DATA / DOCUMENTS AVAILABLE</w:t>
            </w:r>
          </w:p>
          <w:p w:rsidR="004D692B" w:rsidRDefault="004D692B">
            <w:pPr>
              <w:spacing w:before="120"/>
              <w:rPr>
                <w:rFonts w:ascii="CG Omega" w:hAnsi="CG Omega" w:cs="CG Omega"/>
                <w:sz w:val="24"/>
                <w:szCs w:val="24"/>
                <w:lang w:val="it-IT"/>
              </w:rPr>
            </w:pPr>
            <w:r>
              <w:rPr>
                <w:rFonts w:ascii="CG Omega" w:hAnsi="CG Omega" w:cs="CG Omega"/>
                <w:i/>
                <w:iCs/>
                <w:sz w:val="24"/>
                <w:szCs w:val="24"/>
                <w:lang w:val="it-IT"/>
              </w:rPr>
              <w:t>dati/documenti disponibili</w:t>
            </w:r>
          </w:p>
        </w:tc>
        <w:tc>
          <w:tcPr>
            <w:tcW w:w="6159" w:type="dxa"/>
            <w:tcBorders>
              <w:top w:val="single" w:sz="6" w:space="0" w:color="000000"/>
              <w:left w:val="nil"/>
              <w:bottom w:val="single" w:sz="12" w:space="0" w:color="000000"/>
              <w:right w:val="nil"/>
            </w:tcBorders>
          </w:tcPr>
          <w:p w:rsidR="004D692B" w:rsidRDefault="004D692B">
            <w:pPr>
              <w:spacing w:before="120"/>
              <w:rPr>
                <w:rFonts w:ascii="CG Omega" w:hAnsi="CG Omega" w:cs="CG Omega"/>
                <w:lang w:val="it-IT"/>
              </w:rPr>
            </w:pPr>
          </w:p>
          <w:p w:rsidR="004D692B" w:rsidRDefault="004D692B">
            <w:pPr>
              <w:spacing w:before="120"/>
              <w:rPr>
                <w:rFonts w:ascii="CG Omega" w:hAnsi="CG Omega" w:cs="CG Omega"/>
                <w:lang w:val="it-IT"/>
              </w:rPr>
            </w:pPr>
          </w:p>
          <w:p w:rsidR="004D692B" w:rsidRDefault="004D692B">
            <w:pPr>
              <w:spacing w:before="120"/>
              <w:rPr>
                <w:rFonts w:ascii="CG Omega" w:hAnsi="CG Omega" w:cs="CG Omega"/>
                <w:lang w:val="it-IT"/>
              </w:rPr>
            </w:pPr>
          </w:p>
          <w:p w:rsidR="004D692B" w:rsidRDefault="004D692B">
            <w:pPr>
              <w:spacing w:before="120"/>
              <w:rPr>
                <w:rFonts w:ascii="CG Omega" w:hAnsi="CG Omega" w:cs="CG Omega"/>
                <w:lang w:val="it-IT"/>
              </w:rPr>
            </w:pPr>
          </w:p>
          <w:p w:rsidR="004D692B" w:rsidRDefault="004D692B">
            <w:pPr>
              <w:spacing w:before="120"/>
              <w:rPr>
                <w:rFonts w:ascii="CG Omega" w:hAnsi="CG Omega" w:cs="CG Omega"/>
                <w:lang w:val="it-IT"/>
              </w:rPr>
            </w:pPr>
          </w:p>
        </w:tc>
      </w:tr>
    </w:tbl>
    <w:p w:rsidR="004D692B" w:rsidRDefault="004D692B">
      <w:pPr>
        <w:rPr>
          <w:rFonts w:ascii="CG Omega" w:hAnsi="CG Omega" w:cs="CG Omega"/>
          <w:i/>
          <w:iCs/>
          <w:lang w:val="it-IT"/>
        </w:rPr>
      </w:pPr>
    </w:p>
    <w:p w:rsidR="004D692B" w:rsidRDefault="004D692B">
      <w:pPr>
        <w:rPr>
          <w:rFonts w:ascii="CG Omega" w:hAnsi="CG Omega" w:cs="CG Omega"/>
          <w:sz w:val="24"/>
          <w:szCs w:val="24"/>
          <w:lang w:val="it-IT"/>
        </w:rPr>
      </w:pPr>
    </w:p>
    <w:p w:rsidR="004D692B" w:rsidRDefault="004D692B">
      <w:pPr>
        <w:rPr>
          <w:rFonts w:ascii="CG Omega" w:hAnsi="CG Omega" w:cs="CG Omega"/>
          <w:i/>
          <w:iCs/>
          <w:lang w:val="it-IT"/>
        </w:rPr>
      </w:pPr>
    </w:p>
    <w:p w:rsidR="004D692B" w:rsidRDefault="004D692B">
      <w:pPr>
        <w:spacing w:before="120"/>
        <w:rPr>
          <w:rFonts w:ascii="CG Omega" w:hAnsi="CG Omega" w:cs="CG Omega"/>
          <w:lang w:val="it-IT"/>
        </w:rPr>
      </w:pPr>
    </w:p>
    <w:sectPr w:rsidR="004D692B" w:rsidSect="004D692B">
      <w:pgSz w:w="11907" w:h="16840" w:code="9"/>
      <w:pgMar w:top="1417" w:right="1644" w:bottom="1134" w:left="1644"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Omeg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E572C"/>
    <w:multiLevelType w:val="singleLevel"/>
    <w:tmpl w:val="0B08B1EC"/>
    <w:lvl w:ilvl="0">
      <w:start w:val="1"/>
      <w:numFmt w:val="lowerLetter"/>
      <w:lvlText w:val="%1) "/>
      <w:legacy w:legacy="1" w:legacySpace="0" w:legacyIndent="283"/>
      <w:lvlJc w:val="left"/>
      <w:pPr>
        <w:ind w:left="1003" w:hanging="283"/>
      </w:pPr>
      <w:rPr>
        <w:b w:val="0"/>
        <w:bCs w:val="0"/>
        <w:i w:val="0"/>
        <w:iCs w:val="0"/>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92B"/>
    <w:rsid w:val="004D69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0"/>
      <w:szCs w:val="20"/>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8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uliana.ferretti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497</Words>
  <Characters>2837</Characters>
  <Application>Microsoft Office Outlook</Application>
  <DocSecurity>0</DocSecurity>
  <Lines>0</Lines>
  <Paragraphs>0</Paragraphs>
  <ScaleCrop>false</ScaleCrop>
  <Company>Prometheus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OF EoC  THESIS ABSTRACTS</dc:title>
  <dc:subject/>
  <dc:creator>Antonella Ferrucci</dc:creator>
  <cp:keywords/>
  <dc:description/>
  <cp:lastModifiedBy>Antonella Ferrucci</cp:lastModifiedBy>
  <cp:revision>2</cp:revision>
  <dcterms:created xsi:type="dcterms:W3CDTF">2016-05-11T16:38:00Z</dcterms:created>
  <dcterms:modified xsi:type="dcterms:W3CDTF">2016-05-11T16:39:00Z</dcterms:modified>
</cp:coreProperties>
</file>