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9A" w:rsidRDefault="00232C9A">
      <w:pPr>
        <w:ind w:right="-170"/>
        <w:jc w:val="center"/>
        <w:rPr>
          <w:rFonts w:ascii="CG Omega" w:hAnsi="CG Omega" w:cs="CG Omega"/>
          <w:sz w:val="24"/>
          <w:szCs w:val="24"/>
          <w:lang w:val="it-IT"/>
        </w:rPr>
      </w:pPr>
      <w:bookmarkStart w:id="0" w:name="_GoBack"/>
      <w:bookmarkEnd w:id="0"/>
      <w:r>
        <w:rPr>
          <w:rFonts w:ascii="CG Omega" w:hAnsi="CG Omega" w:cs="CG Omega"/>
          <w:sz w:val="24"/>
          <w:szCs w:val="24"/>
          <w:lang w:val="it-IT"/>
        </w:rPr>
        <w:t>DATABASE OF EoC  THESIS ABSTRACTS</w:t>
      </w:r>
    </w:p>
    <w:p w:rsidR="00232C9A" w:rsidRDefault="00232C9A">
      <w:pPr>
        <w:ind w:right="-170"/>
        <w:rPr>
          <w:rFonts w:ascii="CG Omega" w:hAnsi="CG Omega" w:cs="CG Omega"/>
          <w:sz w:val="24"/>
          <w:szCs w:val="24"/>
          <w:lang w:val="it-IT"/>
        </w:rPr>
      </w:pPr>
    </w:p>
    <w:tbl>
      <w:tblPr>
        <w:tblW w:w="0" w:type="auto"/>
        <w:tblInd w:w="-106" w:type="dxa"/>
        <w:tblLayout w:type="fixed"/>
        <w:tblLook w:val="0000"/>
      </w:tblPr>
      <w:tblGrid>
        <w:gridCol w:w="3554"/>
        <w:gridCol w:w="5235"/>
      </w:tblGrid>
      <w:tr w:rsidR="00232C9A">
        <w:tblPrEx>
          <w:tblCellMar>
            <w:top w:w="0" w:type="dxa"/>
            <w:bottom w:w="0" w:type="dxa"/>
          </w:tblCellMar>
        </w:tblPrEx>
        <w:tc>
          <w:tcPr>
            <w:tcW w:w="3554" w:type="dxa"/>
            <w:tcBorders>
              <w:top w:val="single" w:sz="12" w:space="0" w:color="000000"/>
              <w:left w:val="nil"/>
              <w:bottom w:val="single" w:sz="12" w:space="0" w:color="000000"/>
              <w:right w:val="nil"/>
            </w:tcBorders>
          </w:tcPr>
          <w:p w:rsidR="00232C9A" w:rsidRDefault="00232C9A">
            <w:pPr>
              <w:jc w:val="right"/>
              <w:rPr>
                <w:rFonts w:ascii="CG Omega" w:hAnsi="CG Omega" w:cs="CG Omega"/>
                <w:b/>
                <w:bCs/>
                <w:color w:val="808080"/>
                <w:sz w:val="32"/>
                <w:szCs w:val="32"/>
                <w:lang w:val="it-IT"/>
              </w:rPr>
            </w:pPr>
            <w:r>
              <w:rPr>
                <w:rFonts w:ascii="CG Omega" w:hAnsi="CG Omega" w:cs="CG Omega"/>
                <w:b/>
                <w:bCs/>
                <w:i/>
                <w:iCs/>
                <w:color w:val="808080"/>
                <w:sz w:val="32"/>
                <w:szCs w:val="32"/>
                <w:lang w:val="it-IT"/>
              </w:rPr>
              <w:t>GENERAL</w:t>
            </w:r>
          </w:p>
          <w:p w:rsidR="00232C9A" w:rsidRDefault="00232C9A">
            <w:pPr>
              <w:ind w:right="-170"/>
              <w:jc w:val="center"/>
              <w:rPr>
                <w:rFonts w:ascii="CG Omega" w:hAnsi="CG Omega" w:cs="CG Omega"/>
                <w:b/>
                <w:bCs/>
                <w:color w:val="808080"/>
                <w:sz w:val="32"/>
                <w:szCs w:val="32"/>
                <w:lang w:val="it-IT"/>
              </w:rPr>
            </w:pPr>
          </w:p>
        </w:tc>
        <w:tc>
          <w:tcPr>
            <w:tcW w:w="5235" w:type="dxa"/>
            <w:tcBorders>
              <w:top w:val="single" w:sz="12" w:space="0" w:color="000000"/>
              <w:left w:val="nil"/>
              <w:bottom w:val="single" w:sz="12" w:space="0" w:color="000000"/>
              <w:right w:val="nil"/>
            </w:tcBorders>
          </w:tcPr>
          <w:p w:rsidR="00232C9A" w:rsidRDefault="00232C9A">
            <w:pPr>
              <w:ind w:right="-170"/>
              <w:rPr>
                <w:rFonts w:ascii="CG Omega" w:hAnsi="CG Omega" w:cs="CG Omega"/>
                <w:b/>
                <w:bCs/>
                <w:color w:val="808080"/>
                <w:sz w:val="32"/>
                <w:szCs w:val="32"/>
                <w:lang w:val="it-IT"/>
              </w:rPr>
            </w:pPr>
            <w:r>
              <w:rPr>
                <w:rFonts w:ascii="CG Omega" w:hAnsi="CG Omega" w:cs="CG Omega"/>
                <w:b/>
                <w:bCs/>
                <w:i/>
                <w:iCs/>
                <w:color w:val="808080"/>
                <w:sz w:val="32"/>
                <w:szCs w:val="32"/>
                <w:lang w:val="it-IT"/>
              </w:rPr>
              <w:t>INFORMATION</w:t>
            </w:r>
          </w:p>
        </w:tc>
      </w:tr>
      <w:tr w:rsidR="00232C9A">
        <w:tblPrEx>
          <w:tblCellMar>
            <w:top w:w="0" w:type="dxa"/>
            <w:bottom w:w="0" w:type="dxa"/>
          </w:tblCellMar>
        </w:tblPrEx>
        <w:tc>
          <w:tcPr>
            <w:tcW w:w="3554" w:type="dxa"/>
            <w:tcBorders>
              <w:top w:val="nil"/>
              <w:left w:val="nil"/>
              <w:bottom w:val="single" w:sz="6" w:space="0" w:color="000000"/>
              <w:right w:val="nil"/>
            </w:tcBorders>
          </w:tcPr>
          <w:p w:rsidR="00232C9A" w:rsidRDefault="00232C9A">
            <w:pPr>
              <w:spacing w:line="480" w:lineRule="auto"/>
              <w:ind w:right="-170"/>
              <w:rPr>
                <w:rFonts w:ascii="CG Omega" w:hAnsi="CG Omega" w:cs="CG Omega"/>
                <w:lang w:val="it-IT"/>
              </w:rPr>
            </w:pPr>
            <w:r>
              <w:rPr>
                <w:rFonts w:ascii="CG Omega" w:hAnsi="CG Omega" w:cs="CG Omega"/>
                <w:lang w:val="it-IT"/>
              </w:rPr>
              <w:t>NAME nome:</w:t>
            </w:r>
          </w:p>
        </w:tc>
        <w:tc>
          <w:tcPr>
            <w:tcW w:w="5235" w:type="dxa"/>
            <w:tcBorders>
              <w:top w:val="nil"/>
              <w:left w:val="nil"/>
              <w:bottom w:val="single" w:sz="6" w:space="0" w:color="000000"/>
              <w:right w:val="nil"/>
            </w:tcBorders>
          </w:tcPr>
          <w:p w:rsidR="00232C9A" w:rsidRDefault="00232C9A">
            <w:pPr>
              <w:ind w:right="-170"/>
              <w:rPr>
                <w:rFonts w:ascii="CG Omega" w:hAnsi="CG Omega" w:cs="CG Omega"/>
                <w:sz w:val="24"/>
                <w:szCs w:val="24"/>
                <w:lang w:val="it-IT"/>
              </w:rPr>
            </w:pPr>
            <w:r>
              <w:rPr>
                <w:rFonts w:ascii="CG Omega" w:hAnsi="CG Omega" w:cs="CG Omega"/>
                <w:sz w:val="24"/>
                <w:szCs w:val="24"/>
                <w:lang w:val="it-IT"/>
              </w:rPr>
              <w:t>Josué Aduna Castillo</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 xml:space="preserve">ADDRESS indirizzo completo: </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Jalisco, México</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lang w:val="it-IT"/>
              </w:rPr>
            </w:pPr>
            <w:r>
              <w:rPr>
                <w:rFonts w:ascii="CG Omega" w:hAnsi="CG Omega" w:cs="CG Omega"/>
                <w:lang w:val="it-IT"/>
              </w:rPr>
              <w:t xml:space="preserve">TELEPHONE telefono: </w:t>
            </w:r>
          </w:p>
          <w:p w:rsidR="00232C9A" w:rsidRDefault="00232C9A">
            <w:pPr>
              <w:spacing w:before="120"/>
              <w:ind w:right="-170"/>
              <w:rPr>
                <w:rFonts w:ascii="CG Omega" w:hAnsi="CG Omega" w:cs="CG Omega"/>
                <w:lang w:val="it-IT"/>
              </w:rPr>
            </w:pPr>
            <w:r>
              <w:rPr>
                <w:rFonts w:ascii="CG Omega" w:hAnsi="CG Omega" w:cs="CG Omega"/>
                <w:lang w:val="it-IT"/>
              </w:rPr>
              <w:t>FAX fax: -</w:t>
            </w:r>
          </w:p>
          <w:p w:rsidR="00232C9A" w:rsidRDefault="00232C9A">
            <w:pPr>
              <w:spacing w:before="120"/>
              <w:ind w:right="-170"/>
              <w:rPr>
                <w:rFonts w:ascii="CG Omega" w:hAnsi="CG Omega" w:cs="CG Omega"/>
                <w:lang w:val="it-IT"/>
              </w:rPr>
            </w:pPr>
            <w:r>
              <w:rPr>
                <w:rFonts w:ascii="CG Omega" w:hAnsi="CG Omega" w:cs="CG Omega"/>
                <w:lang w:val="it-IT"/>
              </w:rPr>
              <w:t xml:space="preserve">E-MAIL e-mail: </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b/>
                <w:bCs/>
                <w:lang w:val="it-IT"/>
              </w:rPr>
            </w:pPr>
          </w:p>
          <w:p w:rsidR="00232C9A" w:rsidRDefault="00232C9A">
            <w:pPr>
              <w:spacing w:before="120"/>
              <w:ind w:right="-170"/>
              <w:rPr>
                <w:rFonts w:ascii="CG Omega" w:hAnsi="CG Omega" w:cs="CG Omega"/>
                <w:sz w:val="24"/>
                <w:szCs w:val="24"/>
                <w:lang w:val="it-IT"/>
              </w:rPr>
            </w:pPr>
            <w:r>
              <w:rPr>
                <w:rFonts w:ascii="CG Omega" w:hAnsi="CG Omega" w:cs="CG Omega"/>
                <w:b/>
                <w:bCs/>
                <w:lang w:val="it-IT"/>
              </w:rPr>
              <w:t>jadunac@gmail.com</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 xml:space="preserve">UNIVERSITY università: Instituto </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Instituto Tecnológico Autónomo de México (ITAM)</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 xml:space="preserve">GRADE OF STUDY livello di studio: </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Licenciatura</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FIELD OF STUDY campo di studio:</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Actuaría</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TITLE OF THESIS titolo della tesi:</w:t>
            </w:r>
          </w:p>
          <w:p w:rsidR="00232C9A" w:rsidRDefault="00232C9A">
            <w:pPr>
              <w:spacing w:before="120" w:line="480" w:lineRule="auto"/>
              <w:ind w:right="-170"/>
              <w:rPr>
                <w:rFonts w:ascii="CG Omega" w:hAnsi="CG Omega" w:cs="CG Omega"/>
                <w:lang w:val="it-IT"/>
              </w:rPr>
            </w:pP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La felicidad en México: una aplicación del sistema de ecuaciones aparentemente no relacionadas</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YEAR COMMENCED anno inizio:</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2013</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YEAR COMPLETED data discussione:</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25/06/2014</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SUPERVISOR relatore:</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Juan José Fernández Durán</w:t>
            </w:r>
          </w:p>
        </w:tc>
      </w:tr>
      <w:tr w:rsidR="00232C9A">
        <w:tblPrEx>
          <w:tblCellMar>
            <w:top w:w="0" w:type="dxa"/>
            <w:bottom w:w="0" w:type="dxa"/>
          </w:tblCellMar>
        </w:tblPrEx>
        <w:tc>
          <w:tcPr>
            <w:tcW w:w="3554" w:type="dxa"/>
            <w:tcBorders>
              <w:top w:val="single" w:sz="6" w:space="0" w:color="000000"/>
              <w:left w:val="nil"/>
              <w:bottom w:val="single" w:sz="6"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PAGES n. pagine:</w:t>
            </w:r>
          </w:p>
        </w:tc>
        <w:tc>
          <w:tcPr>
            <w:tcW w:w="5235"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81</w:t>
            </w:r>
          </w:p>
        </w:tc>
      </w:tr>
      <w:tr w:rsidR="00232C9A">
        <w:tblPrEx>
          <w:tblCellMar>
            <w:top w:w="0" w:type="dxa"/>
            <w:bottom w:w="0" w:type="dxa"/>
          </w:tblCellMar>
        </w:tblPrEx>
        <w:tc>
          <w:tcPr>
            <w:tcW w:w="3554" w:type="dxa"/>
            <w:tcBorders>
              <w:top w:val="single" w:sz="6" w:space="0" w:color="000000"/>
              <w:left w:val="nil"/>
              <w:bottom w:val="single" w:sz="12" w:space="0" w:color="000000"/>
              <w:right w:val="nil"/>
            </w:tcBorders>
          </w:tcPr>
          <w:p w:rsidR="00232C9A" w:rsidRDefault="00232C9A">
            <w:pPr>
              <w:spacing w:before="120" w:line="480" w:lineRule="auto"/>
              <w:ind w:right="-170"/>
              <w:rPr>
                <w:rFonts w:ascii="CG Omega" w:hAnsi="CG Omega" w:cs="CG Omega"/>
                <w:lang w:val="it-IT"/>
              </w:rPr>
            </w:pPr>
            <w:r>
              <w:rPr>
                <w:rFonts w:ascii="CG Omega" w:hAnsi="CG Omega" w:cs="CG Omega"/>
                <w:lang w:val="it-IT"/>
              </w:rPr>
              <w:t>LANGUAGE lingua:</w:t>
            </w:r>
          </w:p>
        </w:tc>
        <w:tc>
          <w:tcPr>
            <w:tcW w:w="5235" w:type="dxa"/>
            <w:tcBorders>
              <w:top w:val="single" w:sz="6" w:space="0" w:color="000000"/>
              <w:left w:val="nil"/>
              <w:bottom w:val="single" w:sz="12"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Español</w:t>
            </w:r>
          </w:p>
        </w:tc>
      </w:tr>
    </w:tbl>
    <w:p w:rsidR="00232C9A" w:rsidRDefault="00232C9A">
      <w:pPr>
        <w:rPr>
          <w:rFonts w:ascii="CG Omega" w:hAnsi="CG Omega" w:cs="CG Omega"/>
          <w:sz w:val="24"/>
          <w:szCs w:val="24"/>
          <w:lang w:val="it-IT"/>
        </w:rPr>
      </w:pPr>
    </w:p>
    <w:p w:rsidR="00232C9A" w:rsidRDefault="00232C9A">
      <w:pPr>
        <w:rPr>
          <w:rFonts w:ascii="CG Omega" w:hAnsi="CG Omega" w:cs="CG Omega"/>
          <w:b/>
          <w:bCs/>
          <w:color w:val="808080"/>
          <w:sz w:val="28"/>
          <w:szCs w:val="28"/>
          <w:lang w:val="it-IT"/>
        </w:rPr>
      </w:pPr>
      <w:r>
        <w:rPr>
          <w:rFonts w:ascii="CG Omega" w:hAnsi="CG Omega" w:cs="CG Omega"/>
          <w:b/>
          <w:bCs/>
          <w:color w:val="808080"/>
          <w:sz w:val="28"/>
          <w:szCs w:val="28"/>
          <w:lang w:val="it-IT"/>
        </w:rPr>
        <w:t>ABSTRAC</w:t>
      </w:r>
    </w:p>
    <w:p w:rsidR="00232C9A" w:rsidRDefault="00232C9A">
      <w:pPr>
        <w:rPr>
          <w:rFonts w:ascii="CG Omega" w:hAnsi="CG Omega" w:cs="CG Omega"/>
          <w:sz w:val="24"/>
          <w:szCs w:val="24"/>
          <w:lang w:val="it-IT"/>
        </w:rPr>
      </w:pPr>
    </w:p>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 xml:space="preserve">Esta tesis ilustra los factores que están relacionados con la felicidad humana y, en particular, analiza estadísticamente las regularidades que se observan en la población mexicana con respecto a la felicidad. Comprende una antología de estudios modernos internacionales que se han realizado como esfuerzos de medir y entender el concepto de la felicidad a través de mediciones más íntegras del bienestar. Se muestra que el análisis de la felicidad y su medición sistemática pueden dilucidar maneras de mejorar el desarrollo sustentable y ser pauta de políticas públicas. Asimismo, se definen variables, entre las cuales se encuentra la </w:t>
      </w:r>
      <w:r>
        <w:rPr>
          <w:rFonts w:ascii="CG Omega" w:hAnsi="CG Omega" w:cs="CG Omega"/>
          <w:i/>
          <w:iCs/>
          <w:sz w:val="24"/>
          <w:szCs w:val="24"/>
          <w:lang w:val="it-IT"/>
        </w:rPr>
        <w:t>Cultura del Dar</w:t>
      </w:r>
      <w:r>
        <w:rPr>
          <w:rFonts w:ascii="CG Omega" w:hAnsi="CG Omega" w:cs="CG Omega"/>
          <w:sz w:val="24"/>
          <w:szCs w:val="24"/>
          <w:lang w:val="it-IT"/>
        </w:rPr>
        <w:t xml:space="preserve"> de la </w:t>
      </w:r>
      <w:r>
        <w:rPr>
          <w:rFonts w:ascii="CG Omega" w:hAnsi="CG Omega" w:cs="CG Omega"/>
          <w:i/>
          <w:iCs/>
          <w:sz w:val="24"/>
          <w:szCs w:val="24"/>
          <w:lang w:val="it-IT"/>
        </w:rPr>
        <w:t>Economía de Comunión</w:t>
      </w:r>
      <w:r>
        <w:rPr>
          <w:rFonts w:ascii="CG Omega" w:hAnsi="CG Omega" w:cs="CG Omega"/>
          <w:sz w:val="24"/>
          <w:szCs w:val="24"/>
          <w:lang w:val="it-IT"/>
        </w:rPr>
        <w:t>, y el marco teórico para el análisis estadístico multivariado del caso mexicano. Los datos analizados sugieren que, en general, la población mexicana no cuenta con las necesidades básicas suficientes para continuar su desarrollo íntegro.</w:t>
      </w:r>
    </w:p>
    <w:p w:rsidR="00232C9A" w:rsidRDefault="00232C9A">
      <w:pPr>
        <w:spacing w:before="120"/>
        <w:ind w:right="-170"/>
        <w:rPr>
          <w:rFonts w:ascii="CG Omega" w:hAnsi="CG Omega" w:cs="CG Omega"/>
          <w:lang w:val="it-IT"/>
        </w:rPr>
      </w:pPr>
    </w:p>
    <w:tbl>
      <w:tblPr>
        <w:tblW w:w="0" w:type="auto"/>
        <w:tblInd w:w="-106" w:type="dxa"/>
        <w:tblLayout w:type="fixed"/>
        <w:tblLook w:val="0000"/>
      </w:tblPr>
      <w:tblGrid>
        <w:gridCol w:w="2676"/>
        <w:gridCol w:w="6538"/>
      </w:tblGrid>
      <w:tr w:rsidR="00232C9A">
        <w:tblPrEx>
          <w:tblCellMar>
            <w:top w:w="0" w:type="dxa"/>
            <w:bottom w:w="0" w:type="dxa"/>
          </w:tblCellMar>
        </w:tblPrEx>
        <w:tc>
          <w:tcPr>
            <w:tcW w:w="2676" w:type="dxa"/>
            <w:tcBorders>
              <w:top w:val="single" w:sz="12" w:space="0" w:color="000000"/>
              <w:left w:val="nil"/>
              <w:bottom w:val="single" w:sz="12" w:space="0" w:color="000000"/>
              <w:right w:val="nil"/>
            </w:tcBorders>
          </w:tcPr>
          <w:p w:rsidR="00232C9A" w:rsidRDefault="00232C9A">
            <w:pPr>
              <w:spacing w:before="120"/>
              <w:rPr>
                <w:rFonts w:ascii="CG Omega" w:hAnsi="CG Omega" w:cs="CG Omega"/>
                <w:b/>
                <w:bCs/>
                <w:color w:val="808080"/>
                <w:sz w:val="24"/>
                <w:szCs w:val="24"/>
                <w:lang w:val="it-IT"/>
              </w:rPr>
            </w:pPr>
            <w:r>
              <w:rPr>
                <w:rFonts w:ascii="CG Omega" w:hAnsi="CG Omega" w:cs="CG Omega"/>
                <w:b/>
                <w:bCs/>
                <w:color w:val="808080"/>
                <w:sz w:val="24"/>
                <w:szCs w:val="24"/>
                <w:lang w:val="it-IT"/>
              </w:rPr>
              <w:t xml:space="preserve">AIM </w:t>
            </w:r>
            <w:r>
              <w:rPr>
                <w:rFonts w:ascii="CG Omega" w:hAnsi="CG Omega" w:cs="CG Omega"/>
                <w:b/>
                <w:bCs/>
                <w:i/>
                <w:iCs/>
                <w:color w:val="808080"/>
                <w:sz w:val="24"/>
                <w:szCs w:val="24"/>
                <w:lang w:val="it-IT"/>
              </w:rPr>
              <w:t xml:space="preserve">obbiettivo </w:t>
            </w:r>
          </w:p>
        </w:tc>
        <w:tc>
          <w:tcPr>
            <w:tcW w:w="6538" w:type="dxa"/>
            <w:tcBorders>
              <w:top w:val="single" w:sz="12" w:space="0" w:color="000000"/>
              <w:left w:val="nil"/>
              <w:bottom w:val="single" w:sz="12" w:space="0" w:color="000000"/>
              <w:right w:val="nil"/>
            </w:tcBorders>
          </w:tcPr>
          <w:p w:rsidR="00232C9A" w:rsidRDefault="00232C9A">
            <w:pPr>
              <w:rPr>
                <w:rFonts w:ascii="CMR10" w:hAnsi="CMR10" w:cs="CMR10"/>
                <w:color w:val="000000"/>
                <w:sz w:val="22"/>
                <w:szCs w:val="22"/>
                <w:lang w:val="es-MX"/>
              </w:rPr>
            </w:pPr>
          </w:p>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Esta tesis atiende a la siguiente pregunta de investigación: ¿qué factores determinan la felicidad de un mexicano?, y a su correspondiente hipótesis: si bien el entorno contribuye a su nivel de felicidad, el crecimiento interno o los rasgos personales finalmente son los que determinan su felicidad.</w:t>
            </w:r>
          </w:p>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 xml:space="preserve">El propósito de este trabajo es vislumbrar cuáles son los factores que están vinculados estadísticamente con ese nivel de felicidad que reportan las personas; el enfoque es explicativo, y no predictivo. Se pretende transmitir una visión más humana de la felicidad como lo plantea la </w:t>
            </w:r>
            <w:r>
              <w:rPr>
                <w:rFonts w:ascii="CG Omega" w:hAnsi="CG Omega" w:cs="CG Omega"/>
                <w:i/>
                <w:iCs/>
                <w:sz w:val="24"/>
                <w:szCs w:val="24"/>
                <w:lang w:val="it-IT"/>
              </w:rPr>
              <w:t>Economía de Comunión</w:t>
            </w:r>
            <w:r>
              <w:rPr>
                <w:rFonts w:ascii="CG Omega" w:hAnsi="CG Omega" w:cs="CG Omega"/>
                <w:sz w:val="24"/>
                <w:szCs w:val="24"/>
                <w:lang w:val="it-IT"/>
              </w:rPr>
              <w:t xml:space="preserve">; que la felicidad sea un aspecto propio de los seres humanos, algo más digerible y no lejano. </w:t>
            </w:r>
          </w:p>
          <w:p w:rsidR="00232C9A" w:rsidRDefault="00232C9A">
            <w:pPr>
              <w:rPr>
                <w:rFonts w:ascii="CG Omega" w:hAnsi="CG Omega" w:cs="CG Omega"/>
                <w:b/>
                <w:bCs/>
                <w:color w:val="808080"/>
                <w:lang w:val="it-IT"/>
              </w:rPr>
            </w:pPr>
          </w:p>
        </w:tc>
      </w:tr>
      <w:tr w:rsidR="00232C9A">
        <w:tblPrEx>
          <w:tblCellMar>
            <w:top w:w="0" w:type="dxa"/>
            <w:bottom w:w="0" w:type="dxa"/>
          </w:tblCellMar>
        </w:tblPrEx>
        <w:tc>
          <w:tcPr>
            <w:tcW w:w="2676" w:type="dxa"/>
            <w:tcBorders>
              <w:top w:val="nil"/>
              <w:left w:val="nil"/>
              <w:bottom w:val="single" w:sz="6" w:space="0" w:color="000000"/>
              <w:right w:val="nil"/>
            </w:tcBorders>
          </w:tcPr>
          <w:p w:rsidR="00232C9A" w:rsidRDefault="00232C9A">
            <w:pPr>
              <w:spacing w:before="120"/>
              <w:rPr>
                <w:rFonts w:ascii="CG Omega" w:hAnsi="CG Omega" w:cs="CG Omega"/>
                <w:i/>
                <w:iCs/>
                <w:sz w:val="24"/>
                <w:szCs w:val="24"/>
                <w:lang w:val="it-IT"/>
              </w:rPr>
            </w:pPr>
            <w:r>
              <w:rPr>
                <w:rFonts w:ascii="CG Omega" w:hAnsi="CG Omega" w:cs="CG Omega"/>
                <w:sz w:val="24"/>
                <w:szCs w:val="24"/>
                <w:lang w:val="it-IT"/>
              </w:rPr>
              <w:t xml:space="preserve">METHOD </w:t>
            </w:r>
            <w:r>
              <w:rPr>
                <w:rFonts w:ascii="CG Omega" w:hAnsi="CG Omega" w:cs="CG Omega"/>
                <w:i/>
                <w:iCs/>
                <w:sz w:val="24"/>
                <w:szCs w:val="24"/>
                <w:lang w:val="it-IT"/>
              </w:rPr>
              <w:t>metodo</w:t>
            </w:r>
          </w:p>
        </w:tc>
        <w:tc>
          <w:tcPr>
            <w:tcW w:w="6538" w:type="dxa"/>
            <w:tcBorders>
              <w:top w:val="nil"/>
              <w:left w:val="nil"/>
              <w:bottom w:val="single" w:sz="6" w:space="0" w:color="000000"/>
              <w:right w:val="nil"/>
            </w:tcBorders>
          </w:tcPr>
          <w:p w:rsidR="00232C9A" w:rsidRDefault="00232C9A">
            <w:pPr>
              <w:spacing w:before="120"/>
              <w:ind w:right="-170"/>
              <w:rPr>
                <w:rFonts w:ascii="CG Omega" w:hAnsi="CG Omega" w:cs="CG Omega"/>
                <w:sz w:val="24"/>
                <w:szCs w:val="24"/>
                <w:lang w:val="it-IT"/>
              </w:rPr>
            </w:pPr>
          </w:p>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El capítulo 1 explora el concepto de la felicidad desde distintas perspectivas. En el capítulo 2 se presentan diversos estudios contemporáneos, de carácter profesional y científico, que muestran la naturaleza y la lógica de algunos criterios que se toman en cuenta para el análisis de la felicidad en este trabajo. El capítulo 3 ofrece la descripción de la base de datos BIARE y de las variables que se emplearán en la aplicación del modelo SUR. En el capítulo 4 se explica la matemática que sustenta el análisis estadístico SUR. En el capítulo 5 se desarrolla la aplicación del modelo SUR a partir de la base de datos BIARE. Y finalmente, en el capítulo 6 se expone el panorama de la felicidad humana.</w:t>
            </w:r>
          </w:p>
          <w:p w:rsidR="00232C9A" w:rsidRDefault="00232C9A">
            <w:pPr>
              <w:spacing w:before="120"/>
              <w:ind w:right="-170"/>
              <w:rPr>
                <w:rFonts w:ascii="CG Omega" w:hAnsi="CG Omega" w:cs="CG Omega"/>
                <w:sz w:val="24"/>
                <w:szCs w:val="24"/>
                <w:lang w:val="it-IT"/>
              </w:rPr>
            </w:pPr>
          </w:p>
        </w:tc>
      </w:tr>
      <w:tr w:rsidR="00232C9A">
        <w:tblPrEx>
          <w:tblCellMar>
            <w:top w:w="0" w:type="dxa"/>
            <w:bottom w:w="0" w:type="dxa"/>
          </w:tblCellMar>
        </w:tblPrEx>
        <w:tc>
          <w:tcPr>
            <w:tcW w:w="2676" w:type="dxa"/>
            <w:tcBorders>
              <w:top w:val="single" w:sz="6" w:space="0" w:color="000000"/>
              <w:left w:val="nil"/>
              <w:bottom w:val="single" w:sz="6" w:space="0" w:color="000000"/>
              <w:right w:val="nil"/>
            </w:tcBorders>
          </w:tcPr>
          <w:p w:rsidR="00232C9A" w:rsidRDefault="00232C9A">
            <w:pPr>
              <w:spacing w:before="120"/>
              <w:rPr>
                <w:rFonts w:ascii="CG Omega" w:hAnsi="CG Omega" w:cs="CG Omega"/>
                <w:sz w:val="24"/>
                <w:szCs w:val="24"/>
                <w:lang w:val="it-IT"/>
              </w:rPr>
            </w:pPr>
            <w:r>
              <w:rPr>
                <w:rFonts w:ascii="CG Omega" w:hAnsi="CG Omega" w:cs="CG Omega"/>
                <w:sz w:val="24"/>
                <w:szCs w:val="24"/>
                <w:lang w:val="it-IT"/>
              </w:rPr>
              <w:t xml:space="preserve">CONCLUSIONS </w:t>
            </w:r>
          </w:p>
          <w:p w:rsidR="00232C9A" w:rsidRDefault="00232C9A">
            <w:pPr>
              <w:spacing w:before="120"/>
              <w:rPr>
                <w:rFonts w:ascii="CG Omega" w:hAnsi="CG Omega" w:cs="CG Omega"/>
                <w:sz w:val="24"/>
                <w:szCs w:val="24"/>
                <w:lang w:val="it-IT"/>
              </w:rPr>
            </w:pPr>
            <w:r>
              <w:rPr>
                <w:rFonts w:ascii="CG Omega" w:hAnsi="CG Omega" w:cs="CG Omega"/>
                <w:i/>
                <w:iCs/>
                <w:sz w:val="24"/>
                <w:szCs w:val="24"/>
                <w:lang w:val="it-IT"/>
              </w:rPr>
              <w:t>conclusioni</w:t>
            </w:r>
          </w:p>
        </w:tc>
        <w:tc>
          <w:tcPr>
            <w:tcW w:w="6538" w:type="dxa"/>
            <w:tcBorders>
              <w:top w:val="single" w:sz="6" w:space="0" w:color="000000"/>
              <w:left w:val="nil"/>
              <w:bottom w:val="single" w:sz="6" w:space="0" w:color="000000"/>
              <w:right w:val="nil"/>
            </w:tcBorders>
          </w:tcPr>
          <w:p w:rsidR="00232C9A" w:rsidRDefault="00232C9A">
            <w:pPr>
              <w:rPr>
                <w:rFonts w:ascii="CMR10" w:hAnsi="CMR10" w:cs="CMR10"/>
                <w:color w:val="000000"/>
                <w:sz w:val="22"/>
                <w:szCs w:val="22"/>
                <w:lang w:val="es-MX"/>
              </w:rPr>
            </w:pPr>
          </w:p>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 xml:space="preserve">Los resultados de esta tesis muestran algunas regularidades, para el caso de la población mexicana, que están relacionadas con la felicidad humana y algunos aspectos que se manifiestan a partir de ésta. A grandes rasgos, se tiene que la felicidad de una persona, en México, se encuentra significativamente asociada al entorno en el que ésta se experimenta; una razón sugerente es que las circunstancias exteriores en México principalmente la inequidad no facilitan que las personas estén “bien acondicionadas" para continuar su desarrollo individual —como se sugiere en el capítulo 2, sección </w:t>
            </w:r>
            <w:r>
              <w:rPr>
                <w:rFonts w:ascii="CG Omega" w:hAnsi="CG Omega" w:cs="CG Omega"/>
                <w:i/>
                <w:iCs/>
                <w:sz w:val="24"/>
                <w:szCs w:val="24"/>
                <w:lang w:val="it-IT"/>
              </w:rPr>
              <w:t>Crecimiento interno como desarrollo humano</w:t>
            </w:r>
            <w:r>
              <w:rPr>
                <w:rFonts w:ascii="CG Omega" w:hAnsi="CG Omega" w:cs="CG Omega"/>
                <w:sz w:val="24"/>
                <w:szCs w:val="24"/>
                <w:lang w:val="it-IT"/>
              </w:rPr>
              <w:t xml:space="preserve"> —.</w:t>
            </w:r>
          </w:p>
          <w:p w:rsidR="00232C9A" w:rsidRDefault="00232C9A">
            <w:pPr>
              <w:spacing w:before="120"/>
              <w:ind w:right="-170"/>
              <w:rPr>
                <w:rFonts w:ascii="CG Omega" w:hAnsi="CG Omega" w:cs="CG Omega"/>
                <w:lang w:val="it-IT"/>
              </w:rPr>
            </w:pPr>
          </w:p>
        </w:tc>
      </w:tr>
      <w:tr w:rsidR="00232C9A">
        <w:tblPrEx>
          <w:tblCellMar>
            <w:top w:w="0" w:type="dxa"/>
            <w:bottom w:w="0" w:type="dxa"/>
          </w:tblCellMar>
        </w:tblPrEx>
        <w:tc>
          <w:tcPr>
            <w:tcW w:w="2676" w:type="dxa"/>
            <w:tcBorders>
              <w:top w:val="single" w:sz="6" w:space="0" w:color="000000"/>
              <w:left w:val="nil"/>
              <w:bottom w:val="single" w:sz="6" w:space="0" w:color="000000"/>
              <w:right w:val="nil"/>
            </w:tcBorders>
          </w:tcPr>
          <w:p w:rsidR="00232C9A" w:rsidRDefault="00232C9A">
            <w:pPr>
              <w:spacing w:before="120"/>
              <w:rPr>
                <w:rFonts w:ascii="CG Omega" w:hAnsi="CG Omega" w:cs="CG Omega"/>
                <w:sz w:val="24"/>
                <w:szCs w:val="24"/>
                <w:lang w:val="it-IT"/>
              </w:rPr>
            </w:pPr>
            <w:r>
              <w:rPr>
                <w:rFonts w:ascii="CG Omega" w:hAnsi="CG Omega" w:cs="CG Omega"/>
                <w:sz w:val="24"/>
                <w:szCs w:val="24"/>
                <w:lang w:val="it-IT"/>
              </w:rPr>
              <w:t xml:space="preserve">KEYWORDS </w:t>
            </w:r>
          </w:p>
        </w:tc>
        <w:tc>
          <w:tcPr>
            <w:tcW w:w="6538" w:type="dxa"/>
            <w:tcBorders>
              <w:top w:val="single" w:sz="6" w:space="0" w:color="000000"/>
              <w:left w:val="nil"/>
              <w:bottom w:val="single" w:sz="6" w:space="0" w:color="000000"/>
              <w:right w:val="nil"/>
            </w:tcBorders>
          </w:tcPr>
          <w:p w:rsidR="00232C9A" w:rsidRDefault="00232C9A">
            <w:pPr>
              <w:spacing w:before="120"/>
              <w:ind w:right="-170"/>
              <w:rPr>
                <w:rFonts w:ascii="CG Omega" w:hAnsi="CG Omega" w:cs="CG Omega"/>
                <w:sz w:val="24"/>
                <w:szCs w:val="24"/>
                <w:lang w:val="it-IT"/>
              </w:rPr>
            </w:pPr>
            <w:r>
              <w:rPr>
                <w:rFonts w:ascii="CG Omega" w:hAnsi="CG Omega" w:cs="CG Omega"/>
                <w:sz w:val="24"/>
                <w:szCs w:val="24"/>
                <w:lang w:val="it-IT"/>
              </w:rPr>
              <w:t>Felicidad, Bienestar subjetivo, Satisfacción, Cultura del Dar, Economía de Comunión, Progreso.</w:t>
            </w:r>
          </w:p>
          <w:p w:rsidR="00232C9A" w:rsidRDefault="00232C9A">
            <w:pPr>
              <w:spacing w:before="120"/>
              <w:rPr>
                <w:rFonts w:ascii="CG Omega" w:hAnsi="CG Omega" w:cs="CG Omega"/>
                <w:lang w:val="it-IT"/>
              </w:rPr>
            </w:pPr>
          </w:p>
        </w:tc>
      </w:tr>
      <w:tr w:rsidR="00232C9A">
        <w:tblPrEx>
          <w:tblCellMar>
            <w:top w:w="0" w:type="dxa"/>
            <w:bottom w:w="0" w:type="dxa"/>
          </w:tblCellMar>
        </w:tblPrEx>
        <w:tc>
          <w:tcPr>
            <w:tcW w:w="2676" w:type="dxa"/>
            <w:tcBorders>
              <w:top w:val="single" w:sz="6" w:space="0" w:color="000000"/>
              <w:left w:val="nil"/>
              <w:bottom w:val="single" w:sz="12" w:space="0" w:color="000000"/>
              <w:right w:val="nil"/>
            </w:tcBorders>
          </w:tcPr>
          <w:p w:rsidR="00232C9A" w:rsidRDefault="00232C9A">
            <w:pPr>
              <w:spacing w:before="120"/>
              <w:rPr>
                <w:rFonts w:ascii="CG Omega" w:hAnsi="CG Omega" w:cs="CG Omega"/>
                <w:sz w:val="24"/>
                <w:szCs w:val="24"/>
                <w:lang w:val="it-IT"/>
              </w:rPr>
            </w:pPr>
            <w:r>
              <w:rPr>
                <w:rFonts w:ascii="CG Omega" w:hAnsi="CG Omega" w:cs="CG Omega"/>
                <w:sz w:val="24"/>
                <w:szCs w:val="24"/>
                <w:lang w:val="it-IT"/>
              </w:rPr>
              <w:t>DATA / DOCUMENTS AVAILABLE</w:t>
            </w:r>
          </w:p>
          <w:p w:rsidR="00232C9A" w:rsidRDefault="00232C9A">
            <w:pPr>
              <w:spacing w:before="120"/>
              <w:rPr>
                <w:rFonts w:ascii="CG Omega" w:hAnsi="CG Omega" w:cs="CG Omega"/>
                <w:sz w:val="24"/>
                <w:szCs w:val="24"/>
                <w:lang w:val="it-IT"/>
              </w:rPr>
            </w:pPr>
            <w:r>
              <w:rPr>
                <w:rFonts w:ascii="CG Omega" w:hAnsi="CG Omega" w:cs="CG Omega"/>
                <w:i/>
                <w:iCs/>
                <w:sz w:val="24"/>
                <w:szCs w:val="24"/>
                <w:lang w:val="it-IT"/>
              </w:rPr>
              <w:t>dati/documenti disponibili</w:t>
            </w:r>
          </w:p>
        </w:tc>
        <w:tc>
          <w:tcPr>
            <w:tcW w:w="6538" w:type="dxa"/>
            <w:tcBorders>
              <w:top w:val="single" w:sz="6" w:space="0" w:color="000000"/>
              <w:left w:val="nil"/>
              <w:bottom w:val="single" w:sz="12" w:space="0" w:color="000000"/>
              <w:right w:val="nil"/>
            </w:tcBorders>
          </w:tcPr>
          <w:p w:rsidR="00232C9A" w:rsidRDefault="00232C9A">
            <w:pPr>
              <w:pStyle w:val="ListParagraph"/>
              <w:numPr>
                <w:ilvl w:val="0"/>
                <w:numId w:val="2"/>
              </w:numPr>
              <w:spacing w:before="120"/>
              <w:ind w:right="-170"/>
              <w:rPr>
                <w:rFonts w:ascii="CG Omega" w:hAnsi="CG Omega" w:cs="CG Omega"/>
                <w:sz w:val="24"/>
                <w:szCs w:val="24"/>
                <w:lang w:val="it-IT"/>
              </w:rPr>
            </w:pPr>
            <w:r>
              <w:rPr>
                <w:rFonts w:ascii="CG Omega" w:hAnsi="CG Omega" w:cs="CG Omega"/>
                <w:i/>
                <w:iCs/>
                <w:sz w:val="24"/>
                <w:szCs w:val="24"/>
                <w:lang w:val="it-IT"/>
              </w:rPr>
              <w:t>documents and data:</w:t>
            </w:r>
            <w:r>
              <w:rPr>
                <w:rFonts w:ascii="CG Omega" w:hAnsi="CG Omega" w:cs="CG Omega"/>
                <w:sz w:val="24"/>
                <w:szCs w:val="24"/>
                <w:lang w:val="it-IT"/>
              </w:rPr>
              <w:t xml:space="preserve"> Tesis; Hipervínculos de material en internet como pie de página; Cuestionario de la encuesta BIARE; Código de programación del modelo estadístico SUR; Bibliografía.</w:t>
            </w:r>
          </w:p>
          <w:p w:rsidR="00232C9A" w:rsidRDefault="00232C9A">
            <w:pPr>
              <w:pStyle w:val="ListParagraph"/>
              <w:numPr>
                <w:ilvl w:val="0"/>
                <w:numId w:val="2"/>
              </w:numPr>
              <w:spacing w:before="120"/>
              <w:ind w:right="-170"/>
              <w:rPr>
                <w:rFonts w:ascii="CG Omega" w:hAnsi="CG Omega" w:cs="CG Omega"/>
                <w:sz w:val="24"/>
                <w:szCs w:val="24"/>
                <w:lang w:val="it-IT"/>
              </w:rPr>
            </w:pPr>
            <w:r>
              <w:rPr>
                <w:rFonts w:ascii="CG Omega" w:hAnsi="CG Omega" w:cs="CG Omega"/>
                <w:i/>
                <w:iCs/>
                <w:sz w:val="24"/>
                <w:szCs w:val="24"/>
                <w:lang w:val="it-IT"/>
              </w:rPr>
              <w:t>format:</w:t>
            </w:r>
            <w:r>
              <w:rPr>
                <w:rFonts w:ascii="CG Omega" w:hAnsi="CG Omega" w:cs="CG Omega"/>
                <w:sz w:val="24"/>
                <w:szCs w:val="24"/>
                <w:lang w:val="it-IT"/>
              </w:rPr>
              <w:t xml:space="preserve"> tesis – .pdf ; data – .dta</w:t>
            </w:r>
          </w:p>
          <w:p w:rsidR="00232C9A" w:rsidRDefault="00232C9A">
            <w:pPr>
              <w:pStyle w:val="ListParagraph"/>
              <w:numPr>
                <w:ilvl w:val="0"/>
                <w:numId w:val="2"/>
              </w:numPr>
              <w:spacing w:before="120"/>
              <w:ind w:right="-170"/>
              <w:rPr>
                <w:rFonts w:ascii="CG Omega" w:hAnsi="CG Omega" w:cs="CG Omega"/>
                <w:sz w:val="24"/>
                <w:szCs w:val="24"/>
                <w:lang w:val="it-IT"/>
              </w:rPr>
            </w:pPr>
            <w:r>
              <w:rPr>
                <w:rFonts w:ascii="CG Omega" w:hAnsi="CG Omega" w:cs="CG Omega"/>
                <w:i/>
                <w:iCs/>
                <w:sz w:val="24"/>
                <w:szCs w:val="24"/>
                <w:lang w:val="it-IT"/>
              </w:rPr>
              <w:t>source</w:t>
            </w:r>
            <w:r>
              <w:rPr>
                <w:rFonts w:ascii="CG Omega" w:hAnsi="CG Omega" w:cs="CG Omega"/>
                <w:sz w:val="24"/>
                <w:szCs w:val="24"/>
                <w:lang w:val="it-IT"/>
              </w:rPr>
              <w:t>: http://hammurabi.itam.mx/F/9BGKRIYDK5I5MR337N3LMQ4HANX92KXKEY9BQ3V9YQP7LCK3FI-25828?func=full-set-set&amp;set_number=014914&amp;set_entry=000001&amp;format=999</w:t>
            </w:r>
          </w:p>
          <w:p w:rsidR="00232C9A" w:rsidRDefault="00232C9A">
            <w:pPr>
              <w:pStyle w:val="ListParagraph"/>
              <w:numPr>
                <w:ilvl w:val="0"/>
                <w:numId w:val="2"/>
              </w:numPr>
              <w:spacing w:before="120"/>
              <w:ind w:right="-170"/>
              <w:rPr>
                <w:rFonts w:ascii="CG Omega" w:hAnsi="CG Omega" w:cs="CG Omega"/>
                <w:lang w:val="it-IT"/>
              </w:rPr>
            </w:pPr>
            <w:r>
              <w:rPr>
                <w:rFonts w:ascii="CG Omega" w:hAnsi="CG Omega" w:cs="CG Omega"/>
                <w:i/>
                <w:iCs/>
                <w:sz w:val="24"/>
                <w:szCs w:val="24"/>
                <w:lang w:val="it-IT"/>
              </w:rPr>
              <w:t>author is willing to discuss</w:t>
            </w:r>
            <w:r>
              <w:rPr>
                <w:rFonts w:ascii="CG Omega" w:hAnsi="CG Omega" w:cs="CG Omega"/>
                <w:sz w:val="24"/>
                <w:szCs w:val="24"/>
                <w:lang w:val="it-IT"/>
              </w:rPr>
              <w:t xml:space="preserve">: Yes, via Internet: contact </w:t>
            </w:r>
            <w:r>
              <w:rPr>
                <w:rFonts w:ascii="CG Omega" w:hAnsi="CG Omega" w:cs="CG Omega"/>
                <w:b/>
                <w:bCs/>
                <w:sz w:val="22"/>
                <w:szCs w:val="22"/>
                <w:lang w:val="it-IT"/>
              </w:rPr>
              <w:t>jadunac@gmail.com</w:t>
            </w:r>
          </w:p>
          <w:p w:rsidR="00232C9A" w:rsidRDefault="00232C9A">
            <w:pPr>
              <w:spacing w:before="120"/>
              <w:rPr>
                <w:rFonts w:ascii="CG Omega" w:hAnsi="CG Omega" w:cs="CG Omega"/>
                <w:lang w:val="it-IT"/>
              </w:rPr>
            </w:pPr>
          </w:p>
        </w:tc>
      </w:tr>
    </w:tbl>
    <w:p w:rsidR="00232C9A" w:rsidRDefault="00232C9A">
      <w:pPr>
        <w:jc w:val="center"/>
        <w:rPr>
          <w:rFonts w:ascii="CG Omega" w:hAnsi="CG Omega" w:cs="CG Omega"/>
          <w:b/>
          <w:bCs/>
          <w:color w:val="808080"/>
          <w:sz w:val="28"/>
          <w:szCs w:val="28"/>
          <w:lang w:val="it-IT"/>
        </w:rPr>
      </w:pPr>
    </w:p>
    <w:p w:rsidR="00232C9A" w:rsidRDefault="00232C9A">
      <w:pPr>
        <w:jc w:val="center"/>
        <w:rPr>
          <w:rFonts w:ascii="CG Omega" w:hAnsi="CG Omega" w:cs="CG Omega"/>
          <w:b/>
          <w:bCs/>
          <w:color w:val="808080"/>
          <w:sz w:val="28"/>
          <w:szCs w:val="28"/>
          <w:lang w:val="it-IT"/>
        </w:rPr>
      </w:pPr>
      <w:r>
        <w:rPr>
          <w:rFonts w:ascii="CG Omega" w:hAnsi="CG Omega" w:cs="CG Omega"/>
          <w:b/>
          <w:bCs/>
          <w:color w:val="808080"/>
          <w:sz w:val="28"/>
          <w:szCs w:val="28"/>
          <w:lang w:val="it-IT"/>
        </w:rPr>
        <w:t>- worked example/ ESEMPIO DI COMPILAZIONE -</w:t>
      </w:r>
    </w:p>
    <w:p w:rsidR="00232C9A" w:rsidRDefault="00232C9A">
      <w:pPr>
        <w:jc w:val="both"/>
        <w:rPr>
          <w:rFonts w:ascii="CG Omega" w:hAnsi="CG Omega" w:cs="CG Omega"/>
          <w:lang w:val="it-IT"/>
        </w:rPr>
      </w:pPr>
      <w:r>
        <w:rPr>
          <w:rFonts w:ascii="CG Omega" w:hAnsi="CG Omega" w:cs="CG Omega"/>
          <w:lang w:val="it-IT"/>
        </w:rPr>
        <w:t xml:space="preserve">AIM:This thesis examines the ethical practices of the EoC businesses regarding taxation compared with a random sample of non EoC businesses to determine whether a new business ethic is emerging. </w:t>
      </w:r>
    </w:p>
    <w:p w:rsidR="00232C9A" w:rsidRDefault="00232C9A">
      <w:pPr>
        <w:rPr>
          <w:rFonts w:ascii="CG Omega" w:hAnsi="CG Omega" w:cs="CG Omega"/>
          <w:lang w:val="it-IT"/>
        </w:rPr>
      </w:pPr>
    </w:p>
    <w:p w:rsidR="00232C9A" w:rsidRDefault="00232C9A">
      <w:pPr>
        <w:jc w:val="both"/>
        <w:rPr>
          <w:rFonts w:ascii="CG Omega" w:hAnsi="CG Omega" w:cs="CG Omega"/>
          <w:lang w:val="it-IT"/>
        </w:rPr>
      </w:pPr>
      <w:r>
        <w:rPr>
          <w:rFonts w:ascii="CG Omega" w:hAnsi="CG Omega" w:cs="CG Omega"/>
          <w:lang w:val="it-IT"/>
        </w:rPr>
        <w:t>METHOD: Literature on the ethical basis of the EoC was examined, especially the foundation writings of Chiara Lubich, president and founder of the Focolare Movement. Other key writings in business ethics and government reports on tax fraud were also consulted, questionnaire on tax practices to be submitted anonymously, was sent to 8 EoC businesses and 20 others. Detailed responses were received from 7 EoC businesses and 8 of the others. The questions included issues of a statistical  and factual nature … as well as more qualitative questions answered by the businesses. The results were analysed using standard statistical techniques as well as qualitative comparisons.</w:t>
      </w:r>
    </w:p>
    <w:p w:rsidR="00232C9A" w:rsidRDefault="00232C9A">
      <w:pPr>
        <w:rPr>
          <w:rFonts w:ascii="CG Omega" w:hAnsi="CG Omega" w:cs="CG Omega"/>
          <w:lang w:val="it-IT"/>
        </w:rPr>
      </w:pPr>
      <w:r>
        <w:rPr>
          <w:rFonts w:ascii="CG Omega" w:hAnsi="CG Omega" w:cs="CG Omega"/>
          <w:lang w:val="it-IT"/>
        </w:rPr>
        <w:t xml:space="preserve"> </w:t>
      </w:r>
    </w:p>
    <w:p w:rsidR="00232C9A" w:rsidRDefault="00232C9A">
      <w:pPr>
        <w:jc w:val="both"/>
        <w:rPr>
          <w:rFonts w:ascii="CG Omega" w:hAnsi="CG Omega" w:cs="CG Omega"/>
          <w:lang w:val="it-IT"/>
        </w:rPr>
      </w:pPr>
      <w:r>
        <w:rPr>
          <w:rFonts w:ascii="CG Omega" w:hAnsi="CG Omega" w:cs="CG Omega"/>
          <w:lang w:val="it-IT"/>
        </w:rPr>
        <w:t xml:space="preserve">CONCLUSIONS: The study showed a very dramatic difference between the EoC entrepreneurs and their counterparts. Whilst the majority of the non EoC entrepreneurs were essentially honest, if the opportunity arose for them to avoid tax without the likelihood of detection this was considered ‘fair game’. Taxation was seen as oppressive. Two of the 13 non EoC entrepreneurs were scrupulous in their regard for tax. All, however, indicated that they would be prepared to cheat if the survival of the business was at stake. All of the EoC businesses saw taxation as a social responsibility, similar to that  part of their profit that goes to the poor. The study verified the original thesis that the EoC is giving birth to a new ethics in Economics. </w:t>
      </w:r>
    </w:p>
    <w:p w:rsidR="00232C9A" w:rsidRDefault="00232C9A">
      <w:pPr>
        <w:rPr>
          <w:rFonts w:ascii="CG Omega" w:hAnsi="CG Omega" w:cs="CG Omega"/>
          <w:lang w:val="it-IT"/>
        </w:rPr>
      </w:pPr>
      <w:r>
        <w:rPr>
          <w:rFonts w:ascii="CG Omega" w:hAnsi="CG Omega" w:cs="CG Omega"/>
          <w:lang w:val="it-IT"/>
        </w:rPr>
        <w:t xml:space="preserve">  </w:t>
      </w:r>
    </w:p>
    <w:p w:rsidR="00232C9A" w:rsidRDefault="00232C9A">
      <w:pPr>
        <w:rPr>
          <w:rFonts w:ascii="CG Omega" w:hAnsi="CG Omega" w:cs="CG Omega"/>
          <w:lang w:val="it-IT"/>
        </w:rPr>
      </w:pPr>
      <w:r>
        <w:rPr>
          <w:rFonts w:ascii="CG Omega" w:hAnsi="CG Omega" w:cs="CG Omega"/>
          <w:lang w:val="it-IT"/>
        </w:rPr>
        <w:t>KEYWORDS:  Business Ethics, taxation, etc.</w:t>
      </w:r>
    </w:p>
    <w:p w:rsidR="00232C9A" w:rsidRDefault="00232C9A">
      <w:pPr>
        <w:rPr>
          <w:rFonts w:ascii="CG Omega" w:hAnsi="CG Omega" w:cs="CG Omega"/>
          <w:lang w:val="it-IT"/>
        </w:rPr>
      </w:pPr>
    </w:p>
    <w:p w:rsidR="00232C9A" w:rsidRDefault="00232C9A">
      <w:pPr>
        <w:rPr>
          <w:rFonts w:ascii="CG Omega" w:hAnsi="CG Omega" w:cs="CG Omega"/>
          <w:lang w:val="it-IT"/>
        </w:rPr>
      </w:pPr>
      <w:r>
        <w:rPr>
          <w:rFonts w:ascii="CG Omega" w:hAnsi="CG Omega" w:cs="CG Omega"/>
          <w:lang w:val="it-IT"/>
        </w:rPr>
        <w:t>DOCUMENTS AND DATA AVAILABLE:</w:t>
      </w:r>
    </w:p>
    <w:p w:rsidR="00232C9A" w:rsidRDefault="00232C9A">
      <w:pPr>
        <w:numPr>
          <w:ilvl w:val="0"/>
          <w:numId w:val="1"/>
        </w:numPr>
        <w:rPr>
          <w:rFonts w:ascii="CG Omega" w:hAnsi="CG Omega" w:cs="CG Omega"/>
          <w:lang w:val="it-IT"/>
        </w:rPr>
      </w:pPr>
      <w:r>
        <w:rPr>
          <w:rFonts w:ascii="CG Omega" w:hAnsi="CG Omega" w:cs="CG Omega"/>
          <w:lang w:val="it-IT"/>
        </w:rPr>
        <w:t>documents and data: thesis; questionnaire data; bibliography</w:t>
      </w:r>
    </w:p>
    <w:p w:rsidR="00232C9A" w:rsidRDefault="00232C9A">
      <w:pPr>
        <w:numPr>
          <w:ilvl w:val="0"/>
          <w:numId w:val="1"/>
        </w:numPr>
        <w:rPr>
          <w:rFonts w:ascii="CG Omega" w:hAnsi="CG Omega" w:cs="CG Omega"/>
          <w:lang w:val="it-IT"/>
        </w:rPr>
      </w:pPr>
      <w:r>
        <w:rPr>
          <w:rFonts w:ascii="CG Omega" w:hAnsi="CG Omega" w:cs="CG Omega"/>
          <w:lang w:val="it-IT"/>
        </w:rPr>
        <w:t>Format: thesis - Microsoft Word 6; data - Microsoft Excel 7 Spreadsheet</w:t>
      </w:r>
    </w:p>
    <w:p w:rsidR="00232C9A" w:rsidRDefault="00232C9A">
      <w:pPr>
        <w:numPr>
          <w:ilvl w:val="0"/>
          <w:numId w:val="1"/>
        </w:numPr>
        <w:rPr>
          <w:rFonts w:ascii="CG Omega" w:hAnsi="CG Omega" w:cs="CG Omega"/>
          <w:lang w:val="it-IT"/>
        </w:rPr>
      </w:pPr>
      <w:r>
        <w:rPr>
          <w:rFonts w:ascii="CG Omega" w:hAnsi="CG Omega" w:cs="CG Omega"/>
          <w:lang w:val="it-IT"/>
        </w:rPr>
        <w:t>Source: http;/ www.eoc.com</w:t>
      </w:r>
    </w:p>
    <w:p w:rsidR="00232C9A" w:rsidRDefault="00232C9A">
      <w:pPr>
        <w:numPr>
          <w:ilvl w:val="0"/>
          <w:numId w:val="1"/>
        </w:numPr>
        <w:rPr>
          <w:rFonts w:ascii="CG Omega" w:hAnsi="CG Omega" w:cs="CG Omega"/>
          <w:lang w:val="it-IT"/>
        </w:rPr>
      </w:pPr>
      <w:r>
        <w:rPr>
          <w:rFonts w:ascii="CG Omega" w:hAnsi="CG Omega" w:cs="CG Omega"/>
          <w:lang w:val="it-IT"/>
        </w:rPr>
        <w:t>author is willing to discuss: Yes, via Internet: contact p.bloggd@123.ddd</w:t>
      </w:r>
    </w:p>
    <w:p w:rsidR="00232C9A" w:rsidRDefault="00232C9A">
      <w:pPr>
        <w:rPr>
          <w:rFonts w:ascii="CG Omega" w:hAnsi="CG Omega" w:cs="CG Omega"/>
          <w:i/>
          <w:iCs/>
          <w:lang w:val="it-IT"/>
        </w:rPr>
      </w:pPr>
    </w:p>
    <w:p w:rsidR="00232C9A" w:rsidRDefault="00232C9A">
      <w:pPr>
        <w:rPr>
          <w:rFonts w:ascii="CG Omega" w:hAnsi="CG Omega" w:cs="CG Omega"/>
          <w:sz w:val="24"/>
          <w:szCs w:val="24"/>
          <w:lang w:val="it-IT"/>
        </w:rPr>
      </w:pPr>
    </w:p>
    <w:p w:rsidR="00232C9A" w:rsidRDefault="00232C9A">
      <w:pPr>
        <w:rPr>
          <w:rFonts w:ascii="CG Omega" w:hAnsi="CG Omega" w:cs="CG Omega"/>
          <w:i/>
          <w:iCs/>
          <w:lang w:val="it-IT"/>
        </w:rPr>
      </w:pPr>
    </w:p>
    <w:p w:rsidR="00232C9A" w:rsidRDefault="00232C9A">
      <w:pPr>
        <w:spacing w:before="120"/>
        <w:rPr>
          <w:rFonts w:ascii="CG Omega" w:hAnsi="CG Omega" w:cs="CG Omega"/>
          <w:lang w:val="it-IT"/>
        </w:rPr>
      </w:pPr>
    </w:p>
    <w:sectPr w:rsidR="00232C9A" w:rsidSect="00232C9A">
      <w:pgSz w:w="11907" w:h="16840" w:code="9"/>
      <w:pgMar w:top="1417" w:right="1644" w:bottom="1134" w:left="164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9A" w:rsidRDefault="00232C9A">
      <w:pPr>
        <w:rPr>
          <w:rFonts w:cs="Times New Roman"/>
        </w:rPr>
      </w:pPr>
      <w:r>
        <w:rPr>
          <w:rFonts w:cs="Times New Roman"/>
        </w:rPr>
        <w:separator/>
      </w:r>
    </w:p>
  </w:endnote>
  <w:endnote w:type="continuationSeparator" w:id="0">
    <w:p w:rsidR="00232C9A" w:rsidRDefault="00232C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9A" w:rsidRDefault="00232C9A">
      <w:pPr>
        <w:rPr>
          <w:rFonts w:cs="Times New Roman"/>
        </w:rPr>
      </w:pPr>
      <w:r>
        <w:rPr>
          <w:rFonts w:cs="Times New Roman"/>
        </w:rPr>
        <w:separator/>
      </w:r>
    </w:p>
  </w:footnote>
  <w:footnote w:type="continuationSeparator" w:id="0">
    <w:p w:rsidR="00232C9A" w:rsidRDefault="00232C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35831"/>
    <w:multiLevelType w:val="multilevel"/>
    <w:tmpl w:val="18CE14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DE572C"/>
    <w:multiLevelType w:val="singleLevel"/>
    <w:tmpl w:val="0B08B1EC"/>
    <w:lvl w:ilvl="0">
      <w:start w:val="1"/>
      <w:numFmt w:val="lowerLetter"/>
      <w:lvlText w:val="%1) "/>
      <w:legacy w:legacy="1" w:legacySpace="0" w:legacyIndent="283"/>
      <w:lvlJc w:val="left"/>
      <w:pPr>
        <w:ind w:left="1003" w:hanging="283"/>
      </w:pPr>
      <w:rPr>
        <w:b w:val="0"/>
        <w:bCs w:val="0"/>
        <w:i w:val="0"/>
        <w:iCs w:val="0"/>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C9A"/>
    <w:rsid w:val="00232C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 w:type="paragraph" w:styleId="FootnoteText">
    <w:name w:val="footnote text"/>
    <w:basedOn w:val="Normal"/>
    <w:link w:val="FootnoteTextChar"/>
    <w:uiPriority w:val="99"/>
    <w:rPr>
      <w:rFonts w:ascii="Calibri" w:hAnsi="Calibri" w:cs="Calibri"/>
      <w:lang w:val="es-MX"/>
    </w:rPr>
  </w:style>
  <w:style w:type="character" w:customStyle="1" w:styleId="FootnoteTextChar">
    <w:name w:val="Footnote Text Char"/>
    <w:basedOn w:val="DefaultParagraphFont"/>
    <w:link w:val="FootnoteText"/>
    <w:uiPriority w:val="99"/>
    <w:rPr>
      <w:rFonts w:cstheme="minorBidi"/>
    </w:rPr>
  </w:style>
  <w:style w:type="character" w:styleId="FootnoteReference">
    <w:name w:val="footnote reference"/>
    <w:basedOn w:val="DefaultParagraphFont"/>
    <w:uiPriority w:val="99"/>
    <w:rPr>
      <w:rFonts w:cstheme="minorBidi"/>
      <w:vertAlign w:val="superscript"/>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921</Words>
  <Characters>5253</Characters>
  <Application>Microsoft Office Outlook</Application>
  <DocSecurity>0</DocSecurity>
  <Lines>0</Lines>
  <Paragraphs>0</Paragraphs>
  <ScaleCrop>false</ScaleCrop>
  <Company>Prometheus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EoC  THESIS ABSTRACTS</dc:title>
  <dc:subject/>
  <dc:creator>Antonella Ferrucci</dc:creator>
  <cp:keywords/>
  <dc:description/>
  <cp:lastModifiedBy>Antonella Ferrucci</cp:lastModifiedBy>
  <cp:revision>4</cp:revision>
  <dcterms:created xsi:type="dcterms:W3CDTF">2016-05-11T15:55:00Z</dcterms:created>
  <dcterms:modified xsi:type="dcterms:W3CDTF">2016-05-11T16:00:00Z</dcterms:modified>
</cp:coreProperties>
</file>