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6D" w:rsidRDefault="0015406D">
      <w:pPr>
        <w:ind w:right="-160"/>
        <w:jc w:val="center"/>
      </w:pPr>
      <w:bookmarkStart w:id="0" w:name="_GoBack"/>
      <w:bookmarkEnd w:id="0"/>
      <w:r>
        <w:rPr>
          <w:rFonts w:eastAsia="Malgun Gothic"/>
          <w:sz w:val="24"/>
          <w:szCs w:val="24"/>
        </w:rPr>
        <w:t>DATABASE OF EoC  THESIS ABSTRACTS</w:t>
      </w:r>
    </w:p>
    <w:p w:rsidR="0015406D" w:rsidRDefault="0015406D">
      <w:pPr>
        <w:ind w:right="-160"/>
      </w:pPr>
      <w:r>
        <w:rPr>
          <w:rFonts w:eastAsia="Malgun Gothic"/>
          <w:sz w:val="24"/>
          <w:szCs w:val="24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5"/>
        <w:gridCol w:w="183"/>
        <w:gridCol w:w="5097"/>
      </w:tblGrid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5406D" w:rsidRDefault="0015406D">
            <w:pPr>
              <w:ind w:left="-40"/>
              <w:jc w:val="right"/>
            </w:pPr>
            <w:r>
              <w:rPr>
                <w:rFonts w:eastAsia="Malgun Gothic"/>
                <w:b/>
                <w:bCs/>
                <w:i/>
                <w:iCs/>
                <w:color w:val="808080"/>
                <w:sz w:val="32"/>
                <w:szCs w:val="32"/>
              </w:rPr>
              <w:t>GENERAL</w:t>
            </w:r>
          </w:p>
          <w:p w:rsidR="0015406D" w:rsidRDefault="0015406D">
            <w:pPr>
              <w:ind w:left="-40" w:right="-160"/>
              <w:jc w:val="center"/>
            </w:pPr>
            <w:r>
              <w:rPr>
                <w:rFonts w:eastAsia="Malgun Gothic"/>
                <w:b/>
                <w:bCs/>
                <w:color w:val="808080"/>
                <w:sz w:val="32"/>
                <w:szCs w:val="32"/>
              </w:rPr>
              <w:t xml:space="preserve"> </w:t>
            </w:r>
          </w:p>
        </w:tc>
        <w:tc>
          <w:tcPr>
            <w:tcW w:w="52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5406D" w:rsidRDefault="0015406D">
            <w:pPr>
              <w:ind w:left="-40" w:right="-160"/>
            </w:pPr>
            <w:r>
              <w:rPr>
                <w:rFonts w:eastAsia="Malgun Gothic"/>
                <w:b/>
                <w:bCs/>
                <w:i/>
                <w:iCs/>
                <w:color w:val="808080"/>
                <w:sz w:val="32"/>
                <w:szCs w:val="32"/>
              </w:rPr>
              <w:t>INFORMATION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line="480" w:lineRule="auto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NAME nome: Park, Young-bong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ind w:left="-40" w:right="-160"/>
              <w:jc w:val="both"/>
            </w:pPr>
            <w:r>
              <w:rPr>
                <w:rFonts w:eastAsia="Malgun Gothic"/>
                <w:sz w:val="24"/>
                <w:szCs w:val="24"/>
              </w:rPr>
              <w:t xml:space="preserve"> 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ind w:left="2560" w:right="-160" w:hanging="260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ADDRESS indirizzo completo:27602,  Maegoe-gil 10, Gamgok-myeon, Eumseong-gun, </w:t>
            </w:r>
          </w:p>
          <w:p w:rsidR="0015406D" w:rsidRDefault="0015406D">
            <w:pPr>
              <w:spacing w:before="120"/>
              <w:ind w:left="2560" w:right="-160" w:hanging="260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                                                 Chungbuk, Korea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TELEPHONE telefono: </w:t>
            </w:r>
          </w:p>
          <w:p w:rsidR="0015406D" w:rsidRDefault="0015406D">
            <w:pPr>
              <w:spacing w:before="120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E-MAIL e-mail: plamore99@yahoo.co.kr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 w:line="480" w:lineRule="auto"/>
              <w:ind w:left="-40" w:right="-160"/>
              <w:jc w:val="both"/>
            </w:pPr>
            <w:r>
              <w:rPr>
                <w:rFonts w:eastAsia="Malgun Gothic"/>
              </w:rPr>
              <w:t>UNIVERSITY università:  Suwon Catholic University</w:t>
            </w:r>
            <w:r>
              <w:rPr>
                <w:rFonts w:eastAsia="Malgun Gothic"/>
                <w:sz w:val="24"/>
                <w:szCs w:val="24"/>
              </w:rPr>
              <w:t xml:space="preserve">                       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GRADE OF STUDY livello di studio: PhD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FIELD OF STUDY campo di studio: Social Doctrine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line="432" w:lineRule="auto"/>
              <w:ind w:left="3300" w:hanging="3300"/>
              <w:rPr>
                <w:rFonts w:eastAsia="Malgun Gothic"/>
              </w:rPr>
            </w:pPr>
            <w:r>
              <w:rPr>
                <w:rFonts w:eastAsia="Malgun Gothic"/>
              </w:rPr>
              <w:t>TITLE OF THESIS titolo della tesi: A study on a Social Doctrine Plan as an Alternative to Economic Neo-Liberalism- with Focus on the Economy of Communication-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YEAR COMMENCED anno inizio: 02/03/2006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 w:line="480" w:lineRule="auto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YEAR COMPLETED data discussione: 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ind w:left="-40" w:right="-160"/>
              <w:jc w:val="both"/>
            </w:pPr>
          </w:p>
          <w:p w:rsidR="0015406D" w:rsidRDefault="0015406D">
            <w:pPr>
              <w:spacing w:before="120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07/09/2009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</w:trPr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SUPERVISOR relatore: Lee, Seong-hyo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89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PAGES n. pagine: 171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406D" w:rsidRDefault="0015406D">
            <w:pPr>
              <w:spacing w:before="120" w:line="480" w:lineRule="auto"/>
              <w:ind w:left="-40" w:right="-16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LANGUAGE lingua: coreana : Korea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406D" w:rsidRDefault="0015406D">
            <w:pPr>
              <w:spacing w:before="120"/>
              <w:ind w:left="-40" w:right="-160"/>
              <w:jc w:val="both"/>
            </w:pPr>
            <w:r>
              <w:rPr>
                <w:rFonts w:eastAsia="Malgun Gothic"/>
                <w:sz w:val="24"/>
                <w:szCs w:val="24"/>
              </w:rPr>
              <w:t xml:space="preserve"> </w:t>
            </w:r>
          </w:p>
        </w:tc>
      </w:tr>
    </w:tbl>
    <w:p w:rsidR="0015406D" w:rsidRDefault="0015406D">
      <w:r>
        <w:rPr>
          <w:rFonts w:eastAsia="Malgun Gothic"/>
          <w:sz w:val="24"/>
          <w:szCs w:val="24"/>
        </w:rPr>
        <w:t xml:space="preserve"> </w:t>
      </w:r>
    </w:p>
    <w:p w:rsidR="0015406D" w:rsidRDefault="0015406D">
      <w:pPr>
        <w:jc w:val="center"/>
      </w:pPr>
      <w:r>
        <w:rPr>
          <w:rFonts w:eastAsia="Malgun Gothic"/>
          <w:b/>
          <w:bCs/>
          <w:color w:val="808080"/>
          <w:sz w:val="28"/>
          <w:szCs w:val="28"/>
        </w:rPr>
        <w:t>ABSTRACT</w:t>
      </w:r>
    </w:p>
    <w:p w:rsidR="0015406D" w:rsidRDefault="0015406D">
      <w:pPr>
        <w:jc w:val="center"/>
        <w:rPr>
          <w:rFonts w:eastAsia="Malgun Gothic"/>
        </w:rPr>
      </w:pPr>
      <w:r>
        <w:rPr>
          <w:rFonts w:eastAsia="Malgun Gothic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5"/>
        <w:gridCol w:w="6409"/>
      </w:tblGrid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5406D" w:rsidRDefault="0015406D">
            <w:pPr>
              <w:spacing w:before="120"/>
            </w:pPr>
            <w:r>
              <w:rPr>
                <w:rFonts w:eastAsia="Malgun Gothic"/>
                <w:b/>
                <w:bCs/>
                <w:sz w:val="24"/>
                <w:szCs w:val="24"/>
              </w:rPr>
              <w:t xml:space="preserve">AIM </w:t>
            </w:r>
            <w:r>
              <w:rPr>
                <w:rFonts w:eastAsia="Malgun Gothic"/>
                <w:b/>
                <w:bCs/>
                <w:i/>
                <w:iCs/>
                <w:sz w:val="24"/>
                <w:szCs w:val="24"/>
              </w:rPr>
              <w:t>obbiettivo</w:t>
            </w:r>
          </w:p>
        </w:tc>
        <w:tc>
          <w:tcPr>
            <w:tcW w:w="6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5406D" w:rsidRDefault="0015406D">
            <w:pPr>
              <w:pStyle w:val="BodyText2"/>
              <w:rPr>
                <w:rFonts w:eastAsia="Malgun Gothic" w:cs="Arial"/>
              </w:rPr>
            </w:pPr>
            <w:r>
              <w:rPr>
                <w:rFonts w:eastAsia="Malgun Gothic" w:cs="Arial"/>
              </w:rPr>
              <w:t>Why is there such a noticeable distinction between the rich and the poor and Why does the gap seem to be widening and developing into very unequal worlds? I believe the answer is in word, economic neo-liberalism that which wants to give people unlimited wealth as its ultimate goal. So, I want to give some point about problem solving for polarization.</w:t>
            </w:r>
          </w:p>
          <w:p w:rsidR="0015406D" w:rsidRDefault="0015406D">
            <w:pPr>
              <w:spacing w:before="120"/>
              <w:jc w:val="both"/>
              <w:rPr>
                <w:b/>
                <w:bCs/>
                <w:color w:val="808080"/>
              </w:rPr>
            </w:pPr>
            <w:r>
              <w:rPr>
                <w:rFonts w:eastAsia="Malgun Gothic"/>
                <w:b/>
                <w:bCs/>
              </w:rPr>
              <w:t xml:space="preserve">The purpose of the economic policy of communion is to help everyone get out of poverty. It is based on the concept of giving culture. People set forth a policy of using only necessary things individually and in a company. Profit is not distributed as if to beggars, but as a social subsidy it is distributed as a sharing in the wealth of the nation. 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</w:pPr>
            <w:r>
              <w:rPr>
                <w:rFonts w:eastAsia="Malgun Gothic"/>
                <w:sz w:val="24"/>
                <w:szCs w:val="24"/>
              </w:rPr>
              <w:t xml:space="preserve">METHOD </w:t>
            </w:r>
            <w:r>
              <w:rPr>
                <w:rFonts w:eastAsia="Malgun Gothic"/>
                <w:i/>
                <w:iCs/>
                <w:sz w:val="24"/>
                <w:szCs w:val="24"/>
              </w:rPr>
              <w:t>metodo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line="360" w:lineRule="auto"/>
              <w:jc w:val="both"/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In this thesis, there are three stages. First. reflection stage. This stage consists of analysis of  real problems and causes and throw out the  light of good news to social phenomenon.</w:t>
            </w:r>
          </w:p>
          <w:p w:rsidR="0015406D" w:rsidRDefault="0015406D">
            <w:pPr>
              <w:spacing w:line="360" w:lineRule="auto"/>
              <w:jc w:val="both"/>
              <w:rPr>
                <w:rFonts w:eastAsia="Malgun Gothic"/>
                <w:b/>
                <w:bCs/>
              </w:rPr>
            </w:pPr>
            <w:r>
              <w:rPr>
                <w:rFonts w:eastAsia="Malgun Gothic"/>
                <w:b/>
                <w:bCs/>
              </w:rPr>
              <w:t>Second, judgment stage, This stage consists of interpretation through catholic church’s Instruction and form a moral and ethical judgment in social phenomenon.</w:t>
            </w:r>
          </w:p>
          <w:p w:rsidR="0015406D" w:rsidRDefault="0015406D">
            <w:pPr>
              <w:spacing w:line="360" w:lineRule="auto"/>
              <w:jc w:val="both"/>
            </w:pPr>
            <w:r>
              <w:rPr>
                <w:rFonts w:eastAsia="Malgun Gothic"/>
                <w:b/>
                <w:bCs/>
              </w:rPr>
              <w:t>Third,  practical stage, s stage consists of reflection through all people, put the plan to detailed action and show the  Practice.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/>
        </w:trPr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</w:pPr>
            <w:r>
              <w:rPr>
                <w:rFonts w:eastAsia="Malgun Gothic"/>
                <w:sz w:val="24"/>
                <w:szCs w:val="24"/>
              </w:rPr>
              <w:t>CONCLUSIONS</w:t>
            </w:r>
          </w:p>
          <w:p w:rsidR="0015406D" w:rsidRDefault="0015406D">
            <w:pPr>
              <w:spacing w:before="120"/>
            </w:pPr>
            <w:r>
              <w:rPr>
                <w:rFonts w:eastAsia="Malgun Gothic"/>
                <w:i/>
                <w:iCs/>
                <w:sz w:val="24"/>
                <w:szCs w:val="24"/>
              </w:rPr>
              <w:t>conclusioni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jc w:val="both"/>
            </w:pPr>
            <w:r>
              <w:rPr>
                <w:rFonts w:eastAsia="Malgun Gothic"/>
                <w:b/>
                <w:bCs/>
              </w:rPr>
              <w:t>The economic policy of communion is an alternative to the economic policy of neo-liberalism that focuses on capital in a spirit of competition. Although there are a lot of difficulties in carrying out an economic policy of communion in the circumstances of Korea, if we run a company according to the policy of communion, good result will come out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</w:pPr>
            <w:r>
              <w:rPr>
                <w:rFonts w:eastAsia="Malgun Gothic"/>
                <w:sz w:val="24"/>
                <w:szCs w:val="24"/>
              </w:rPr>
              <w:t>KEYWORDS</w:t>
            </w:r>
          </w:p>
          <w:p w:rsidR="0015406D" w:rsidRDefault="0015406D">
            <w:pPr>
              <w:spacing w:before="120"/>
            </w:pPr>
            <w:r>
              <w:rPr>
                <w:rFonts w:eastAsia="Malgun Gothic"/>
                <w:i/>
                <w:iCs/>
                <w:sz w:val="24"/>
                <w:szCs w:val="24"/>
              </w:rPr>
              <w:t>parole chiave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5406D" w:rsidRDefault="0015406D">
            <w:pPr>
              <w:spacing w:before="120"/>
              <w:jc w:val="both"/>
              <w:rPr>
                <w:rFonts w:eastAsia="Malgun Gothic"/>
              </w:rPr>
            </w:pPr>
            <w:r>
              <w:rPr>
                <w:rFonts w:eastAsia="Malgun Gothic"/>
              </w:rPr>
              <w:t>Social doctrine, Economic Neo-Liberalism, Economy of Communion</w:t>
            </w:r>
          </w:p>
          <w:p w:rsidR="0015406D" w:rsidRDefault="0015406D">
            <w:pPr>
              <w:spacing w:before="120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 </w:t>
            </w:r>
          </w:p>
        </w:tc>
      </w:tr>
      <w:tr w:rsidR="001540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0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406D" w:rsidRDefault="0015406D">
            <w:pPr>
              <w:spacing w:before="120"/>
            </w:pPr>
            <w:r>
              <w:rPr>
                <w:rFonts w:eastAsia="Malgun Gothic"/>
                <w:sz w:val="24"/>
                <w:szCs w:val="24"/>
              </w:rPr>
              <w:t>DATA / DOCUMENTS AVAILABLE</w:t>
            </w:r>
          </w:p>
          <w:p w:rsidR="0015406D" w:rsidRDefault="0015406D">
            <w:pPr>
              <w:spacing w:before="120"/>
            </w:pPr>
            <w:r>
              <w:rPr>
                <w:rFonts w:eastAsia="Malgun Gothic"/>
                <w:i/>
                <w:iCs/>
                <w:sz w:val="24"/>
                <w:szCs w:val="24"/>
              </w:rPr>
              <w:t>dati/documenti disponibili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406D" w:rsidRDefault="0015406D">
            <w:pPr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 DOCUMENTS AND DATA AVAILABLE:</w:t>
            </w:r>
          </w:p>
          <w:p w:rsidR="0015406D" w:rsidRDefault="0015406D">
            <w:pPr>
              <w:ind w:left="1000" w:hanging="280"/>
              <w:rPr>
                <w:rFonts w:eastAsia="Malgun Gothic"/>
              </w:rPr>
            </w:pPr>
            <w:r>
              <w:rPr>
                <w:rFonts w:eastAsia="Malgun Gothic"/>
                <w:sz w:val="24"/>
                <w:szCs w:val="24"/>
              </w:rPr>
              <w:t xml:space="preserve">a) </w:t>
            </w:r>
            <w:r>
              <w:rPr>
                <w:rFonts w:ascii="Times New Roman" w:eastAsia="Malgun Gothic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Malgun Gothic"/>
              </w:rPr>
              <w:t xml:space="preserve">documents and data: thesis; </w:t>
            </w:r>
          </w:p>
          <w:p w:rsidR="0015406D" w:rsidRDefault="0015406D">
            <w:pPr>
              <w:ind w:left="1500" w:hanging="840"/>
              <w:jc w:val="both"/>
              <w:rPr>
                <w:rFonts w:eastAsia="Malgun Gothic"/>
              </w:rPr>
            </w:pPr>
            <w:r>
              <w:rPr>
                <w:rFonts w:eastAsia="Malgun Gothic"/>
                <w:sz w:val="24"/>
                <w:szCs w:val="24"/>
              </w:rPr>
              <w:t xml:space="preserve">b) </w:t>
            </w:r>
            <w:r>
              <w:rPr>
                <w:rFonts w:ascii="Times New Roman" w:eastAsia="Malgun Gothic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Malgun Gothic"/>
              </w:rPr>
              <w:t>Format: thesis – A study on a Social Doctrine Plan as an Alternative to Economic Neo-Liberalism- with Focus on the Economy of Communication.2009</w:t>
            </w:r>
          </w:p>
          <w:p w:rsidR="0015406D" w:rsidRDefault="0015406D">
            <w:pPr>
              <w:ind w:left="1000" w:hanging="280"/>
              <w:rPr>
                <w:rFonts w:eastAsia="Malgun Gothic"/>
              </w:rPr>
            </w:pPr>
            <w:r>
              <w:rPr>
                <w:rFonts w:eastAsia="Malgun Gothic"/>
                <w:sz w:val="24"/>
                <w:szCs w:val="24"/>
              </w:rPr>
              <w:t xml:space="preserve">c) </w:t>
            </w:r>
            <w:r>
              <w:rPr>
                <w:rFonts w:ascii="Times New Roman" w:eastAsia="Malgun Gothic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Malgun Gothic"/>
              </w:rPr>
              <w:t>author is willing to discuss: Yes, via Internet: plamore99@yahoo.co.kr</w:t>
            </w:r>
          </w:p>
        </w:tc>
      </w:tr>
    </w:tbl>
    <w:p w:rsidR="0015406D" w:rsidRDefault="0015406D"/>
    <w:sectPr w:rsidR="0015406D" w:rsidSect="0015406D">
      <w:pgSz w:w="12240" w:h="15840"/>
      <w:pgMar w:top="1417" w:right="1440" w:bottom="1134" w:left="1440" w:header="709" w:footer="709" w:gutter="0"/>
      <w:pgNumType w:start="1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06D"/>
    <w:rsid w:val="0015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line="276" w:lineRule="auto"/>
    </w:pPr>
    <w:rPr>
      <w:rFonts w:ascii="Arial" w:hAnsi="Arial" w:cs="Arial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320" w:after="80"/>
      <w:outlineLvl w:val="2"/>
    </w:pPr>
    <w:rPr>
      <w:color w:val="80808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80" w:after="80"/>
      <w:outlineLvl w:val="3"/>
    </w:pPr>
    <w:rPr>
      <w:color w:val="8080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40" w:after="80"/>
      <w:outlineLvl w:val="4"/>
    </w:pPr>
    <w:rPr>
      <w:color w:val="80808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40" w:after="80"/>
      <w:outlineLvl w:val="5"/>
    </w:pPr>
    <w:rPr>
      <w:i/>
      <w:iCs/>
      <w:color w:val="8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b/>
      <w:bCs/>
      <w:i/>
      <w:iCs/>
      <w:color w:val="000000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b/>
      <w:bCs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color w:val="000000"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pPr>
      <w:keepNext/>
      <w:keepLines/>
      <w:spacing w:after="320"/>
    </w:pPr>
    <w:rPr>
      <w:color w:val="80808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cstheme="minorBidi"/>
      <w:sz w:val="18"/>
      <w:szCs w:val="18"/>
    </w:rPr>
  </w:style>
  <w:style w:type="paragraph" w:styleId="BodyText2">
    <w:name w:val="Body Text 2"/>
    <w:basedOn w:val="Normal"/>
    <w:link w:val="BodyText2Char"/>
    <w:uiPriority w:val="99"/>
    <w:pPr>
      <w:spacing w:before="120"/>
      <w:ind w:left="-253" w:firstLine="253"/>
      <w:jc w:val="both"/>
    </w:pPr>
    <w:rPr>
      <w:rFonts w:cstheme="minorBidi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406D"/>
    <w:rPr>
      <w:rFonts w:ascii="Arial" w:hAnsi="Arial" w:cs="Arial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414</Words>
  <Characters>2365</Characters>
  <Application>Microsoft Office Outlook</Application>
  <DocSecurity>0</DocSecurity>
  <Lines>0</Lines>
  <Paragraphs>0</Paragraphs>
  <ScaleCrop>false</ScaleCrop>
  <Company>Prometheus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OF EoC  THESIS ABSTRACTS</dc:title>
  <dc:subject/>
  <dc:creator>강영선</dc:creator>
  <cp:keywords/>
  <dc:description/>
  <cp:lastModifiedBy>Antonella Ferrucci</cp:lastModifiedBy>
  <cp:revision>2</cp:revision>
  <cp:lastPrinted>2016-02-16T05:25:00Z</cp:lastPrinted>
  <dcterms:created xsi:type="dcterms:W3CDTF">2016-05-09T15:55:00Z</dcterms:created>
  <dcterms:modified xsi:type="dcterms:W3CDTF">2016-05-09T15:55:00Z</dcterms:modified>
</cp:coreProperties>
</file>